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b356befa44a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5249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5249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Wellman, Nobles, Das, Dhingra, Hasegawa, Kuderer, Nguyen, Saldaña, and Wilson, C.; by request of State Board of Education)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mastery-based learning; amending RCW 28A.655.260; amending 2019 c 252 s 301 (uncodified);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252 s 301</w:t>
      </w:r>
      <w:r>
        <w:rPr/>
        <w:t xml:space="preserve"> (uncodified) is amended to read as follows:</w:t>
      </w:r>
    </w:p>
    <w:p>
      <w:pPr>
        <w:spacing w:before="0" w:after="0" w:line="408" w:lineRule="exact"/>
        <w:ind w:left="0" w:right="0" w:firstLine="576"/>
        <w:jc w:val="left"/>
      </w:pP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w:t>
      </w:r>
      <w:r>
        <w:rPr>
          <w:u w:val="single"/>
        </w:rPr>
        <w:t xml:space="preserve">By December 10, 2021, the work group shall develop a Washington state profile of a graduate describing the cross-disciplinary skills a student should have developed by the time they graduate high school. In developing the profile, the work group shall consult with students, families, and educators who have been underserved by the education system, examples of which include communities of color, English language learners, and students with disabilities. The work group shall seek guidance from the educational opportunity gap oversight and accountability committee regarding how to meaningfully engage with these communities. In addition, the work group shall consult with representatives from postsecondary education and training programs, labor, and industry, and seek input from the council of presidents and the Washington association of colleges for teacher education.</w:t>
      </w:r>
    </w:p>
    <w:p>
      <w:pPr>
        <w:spacing w:before="0" w:after="0" w:line="408" w:lineRule="exact"/>
        <w:ind w:left="0" w:right="0" w:firstLine="576"/>
        <w:jc w:val="left"/>
      </w:pPr>
      <w:r>
        <w:rPr>
          <w:u w:val="single"/>
        </w:rPr>
        <w:t xml:space="preserve">(5)</w:t>
      </w:r>
      <w:r>
        <w:rPr/>
        <w:t xml:space="preserve">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w:t>
      </w:r>
      <w:r>
        <w:t>((</w:t>
      </w:r>
      <w:r>
        <w:rPr>
          <w:strike/>
        </w:rPr>
        <w:t xml:space="preserve">and</w:t>
      </w:r>
      <w:r>
        <w:t>))</w:t>
      </w:r>
    </w:p>
    <w:p>
      <w:pPr>
        <w:spacing w:before="0" w:after="0" w:line="408" w:lineRule="exact"/>
        <w:ind w:left="0" w:right="0" w:firstLine="576"/>
        <w:jc w:val="left"/>
      </w:pPr>
      <w:r>
        <w:rPr/>
        <w:t xml:space="preserve">(i) One representative from the state board of education as selected by the chair of the state board of education</w:t>
      </w:r>
      <w:r>
        <w:rPr>
          <w:u w:val="single"/>
        </w:rPr>
        <w:t xml:space="preserve">;</w:t>
      </w:r>
    </w:p>
    <w:p>
      <w:pPr>
        <w:spacing w:before="0" w:after="0" w:line="408" w:lineRule="exact"/>
        <w:ind w:left="0" w:right="0" w:firstLine="576"/>
        <w:jc w:val="left"/>
      </w:pPr>
      <w:r>
        <w:rPr>
          <w:u w:val="single"/>
        </w:rPr>
        <w:t xml:space="preserve">(j) One representative from a Washington professional educator standards board-approved teacher preparation program with experience in mastery-based learning as selected by a state association representing teacher preparation programs;</w:t>
      </w:r>
    </w:p>
    <w:p>
      <w:pPr>
        <w:spacing w:before="0" w:after="0" w:line="408" w:lineRule="exact"/>
        <w:ind w:left="0" w:right="0" w:firstLine="576"/>
        <w:jc w:val="left"/>
      </w:pPr>
      <w:r>
        <w:rPr>
          <w:u w:val="single"/>
        </w:rPr>
        <w:t xml:space="preserve">(k) One representative from the professional educator standards board;</w:t>
      </w:r>
    </w:p>
    <w:p>
      <w:pPr>
        <w:spacing w:before="0" w:after="0" w:line="408" w:lineRule="exact"/>
        <w:ind w:left="0" w:right="0" w:firstLine="576"/>
        <w:jc w:val="left"/>
      </w:pPr>
      <w:r>
        <w:rPr>
          <w:u w:val="single"/>
        </w:rPr>
        <w:t xml:space="preserve">(l) One representative from the Washington student achievement council; and</w:t>
      </w:r>
    </w:p>
    <w:p>
      <w:pPr>
        <w:spacing w:before="0" w:after="0" w:line="408" w:lineRule="exact"/>
        <w:ind w:left="0" w:right="0" w:firstLine="576"/>
        <w:jc w:val="left"/>
      </w:pPr>
      <w:r>
        <w:rPr>
          <w:u w:val="single"/>
        </w:rPr>
        <w:t xml:space="preserve">(m) One representative from the online learning community as selected by the online learning advisory committee of the office of the superintendent of public instruction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w:t>
      </w:r>
      <w:r>
        <w:t>((</w:t>
      </w:r>
      <w:r>
        <w:rPr>
          <w:strike/>
        </w:rPr>
        <w:t xml:space="preserve">and</w:t>
      </w:r>
      <w:r>
        <w:t>))</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w:t>
      </w:r>
      <w:r>
        <w:t>((</w:t>
      </w:r>
      <w:r>
        <w:rPr>
          <w:strike/>
        </w:rPr>
        <w:t xml:space="preserve">and</w:t>
      </w:r>
      <w:r>
        <w:t>))</w:t>
      </w:r>
      <w:r>
        <w:rPr/>
        <w:t xml:space="preserve"> a </w:t>
      </w:r>
      <w:r>
        <w:t>((</w:t>
      </w:r>
      <w:r>
        <w:rPr>
          <w:strike/>
        </w:rPr>
        <w:t xml:space="preserve">final</w:t>
      </w:r>
      <w:r>
        <w:t>))</w:t>
      </w:r>
      <w:r>
        <w:rPr/>
        <w:t xml:space="preserve"> </w:t>
      </w:r>
      <w:r>
        <w:rPr>
          <w:u w:val="single"/>
        </w:rPr>
        <w:t xml:space="preserve">second interim</w:t>
      </w:r>
      <w:r>
        <w:rPr/>
        <w:t xml:space="preserve"> report, provided to the same recipients, detailing all findings and recommendations related to the work group's purpose and tasks by December 1, 2020</w:t>
      </w:r>
      <w:r>
        <w:rPr>
          <w:u w:val="single"/>
        </w:rPr>
        <w:t xml:space="preserve">, and a final report, provided to the same recipients, on a profile of a graduate developed under subsection (4) of this section and related recommendations for supporting implementation of mastery-based learning by December 10, 2021; and</w:t>
      </w:r>
    </w:p>
    <w:p>
      <w:pPr>
        <w:spacing w:before="0" w:after="0" w:line="408" w:lineRule="exact"/>
        <w:ind w:left="0" w:right="0" w:firstLine="576"/>
        <w:jc w:val="left"/>
      </w:pPr>
      <w:r>
        <w:rPr>
          <w:u w:val="single"/>
        </w:rPr>
        <w:t xml:space="preserve">(d) Submit the final report on a profile of a graduate developed under subsection (4) of this section to the state board of education by December 10, 2021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w:t>
      </w:r>
      <w:r>
        <w:t>((</w:t>
      </w:r>
      <w:r>
        <w:rPr>
          <w:strike/>
        </w:rPr>
        <w:t xml:space="preserve">March 1, 2021</w:t>
      </w:r>
      <w:r>
        <w:t>))</w:t>
      </w:r>
      <w:r>
        <w:rPr/>
        <w:t xml:space="preserve"> </w:t>
      </w:r>
      <w:r>
        <w:rPr>
          <w:u w:val="single"/>
        </w:rPr>
        <w:t xml:space="preserve">June 30,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review the profile of a graduate recommended by the mastery-based learning work group under section 1 of this act. The state board of education may consider modifications to the profile based on public comment and shall submit a report outlining its findings and recommendations to the governor and the education committees of the house of representatives and the senate by December 31, 2022.</w:t>
      </w:r>
    </w:p>
    <w:p>
      <w:pPr>
        <w:spacing w:before="0" w:after="0" w:line="408" w:lineRule="exact"/>
        <w:ind w:left="0" w:right="0" w:firstLine="576"/>
        <w:jc w:val="left"/>
      </w:pPr>
      <w:r>
        <w:rPr/>
        <w:t xml:space="preserve">(2)(a) As part of the report developed under subsection (1) of this section, the state board of education may submit recommendations to align graduation requirements under RCW 28A.230.090 and 28A.655.250 with the profile of a graduate. Any recommended additional graduation pathway options or changes to graduation pathway options must be established by statute and cannot be added by rule alone.</w:t>
      </w:r>
    </w:p>
    <w:p>
      <w:pPr>
        <w:spacing w:before="0" w:after="0" w:line="408" w:lineRule="exact"/>
        <w:ind w:left="0" w:right="0" w:firstLine="576"/>
        <w:jc w:val="left"/>
      </w:pPr>
      <w:r>
        <w:rPr/>
        <w:t xml:space="preserve">(b) In developing the recommendations, the state board of education shall consider:</w:t>
      </w:r>
    </w:p>
    <w:p>
      <w:pPr>
        <w:spacing w:before="0" w:after="0" w:line="408" w:lineRule="exact"/>
        <w:ind w:left="0" w:right="0" w:firstLine="576"/>
        <w:jc w:val="left"/>
      </w:pPr>
      <w:r>
        <w:rPr/>
        <w:t xml:space="preserve">(i) Whether changes to the core subject area requirements, flexible credits, and noncredit requirements should be made and what those changes should be;</w:t>
      </w:r>
    </w:p>
    <w:p>
      <w:pPr>
        <w:spacing w:before="0" w:after="0" w:line="408" w:lineRule="exact"/>
        <w:ind w:left="0" w:right="0" w:firstLine="576"/>
        <w:jc w:val="left"/>
      </w:pPr>
      <w:r>
        <w:rPr/>
        <w:t xml:space="preserve">(ii) The relationship between credits and core subject area requirements; and</w:t>
      </w:r>
    </w:p>
    <w:p>
      <w:pPr>
        <w:spacing w:before="0" w:after="0" w:line="408" w:lineRule="exact"/>
        <w:ind w:left="0" w:right="0" w:firstLine="576"/>
        <w:jc w:val="left"/>
      </w:pPr>
      <w:r>
        <w:rPr/>
        <w:t xml:space="preserve">(iii) How the following components of the high school diploma work together as a system of graduation requirements designed to declare that a student is ready for success in postsecondary education, gainful employment, and civic engagement and is equipped with the skills to be a lifelong learner: The high school and beyond plan and the credit and subject area graduation requirements under RCW 28A.230.090 and the graduation pathway options under RCW 28A.655.250.</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2019 c 252 s 202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w:t>
      </w:r>
      <w:r>
        <w:t>((</w:t>
      </w:r>
      <w:r>
        <w:rPr>
          <w:strike/>
        </w:rPr>
        <w:t xml:space="preserve">conduct a</w:t>
      </w:r>
      <w:r>
        <w:t>))</w:t>
      </w:r>
      <w:r>
        <w:rPr/>
        <w:t xml:space="preserve"> survey </w:t>
      </w:r>
      <w:r>
        <w:t>((</w:t>
      </w:r>
      <w:r>
        <w:rPr>
          <w:strike/>
        </w:rPr>
        <w:t xml:space="preserve">of</w:t>
      </w:r>
      <w:r>
        <w:t>))</w:t>
      </w:r>
      <w:r>
        <w:rPr/>
        <w:t xml:space="preserve"> interested parties regarding what additional graduation pathways should be added to the existing graduation pathways identified in RCW 28A.655.250 and whether modifications should be made to any of the existing pathways. Interested parties shall include at a minimum: </w:t>
      </w:r>
      <w:r>
        <w:t>((</w:t>
      </w:r>
      <w:r>
        <w:rPr>
          <w:strike/>
        </w:rPr>
        <w:t xml:space="preserve">Representatives</w:t>
      </w:r>
      <w:r>
        <w:t>))</w:t>
      </w:r>
      <w:r>
        <w:rPr/>
        <w:t xml:space="preserve"> </w:t>
      </w:r>
      <w:r>
        <w:rPr>
          <w:u w:val="single"/>
        </w:rPr>
        <w:t xml:space="preserve">High school students; recent high school graduates; representatives</w:t>
      </w:r>
      <w:r>
        <w:rPr/>
        <w:t xml:space="preserve">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w:t>
      </w:r>
      <w:r>
        <w:t>((</w:t>
      </w:r>
      <w:r>
        <w:rPr>
          <w:strike/>
        </w:rPr>
        <w:t xml:space="preserve">a report</w:t>
      </w:r>
      <w:r>
        <w:t>))</w:t>
      </w:r>
      <w:r>
        <w:rPr/>
        <w:t xml:space="preserve"> </w:t>
      </w:r>
      <w:r>
        <w:rPr>
          <w:u w:val="single"/>
        </w:rPr>
        <w:t xml:space="preserve">reports</w:t>
      </w:r>
      <w:r>
        <w:rPr/>
        <w:t xml:space="preserve"> to the education committees of the legislature by August 1, 2020, </w:t>
      </w:r>
      <w:r>
        <w:rPr>
          <w:u w:val="single"/>
        </w:rPr>
        <w:t xml:space="preserve">and December 10, 2022,</w:t>
      </w:r>
      <w:r>
        <w:rPr/>
        <w:t xml:space="preserve">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March 1, 2021.</w:t>
      </w:r>
    </w:p>
    <w:p/>
    <w:p>
      <w:pPr>
        <w:jc w:val="center"/>
      </w:pPr>
      <w:r>
        <w:rPr>
          <w:b/>
        </w:rPr>
        <w:t>--- END ---</w:t>
      </w:r>
    </w:p>
    <w:sectPr>
      <w:pgNumType w:start="1"/>
      <w:footerReference xmlns:r="http://schemas.openxmlformats.org/officeDocument/2006/relationships" r:id="R3dcbb1ec0ce8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c95a875d34315" /><Relationship Type="http://schemas.openxmlformats.org/officeDocument/2006/relationships/footer" Target="/word/footer1.xml" Id="R3dcbb1ec0ce8400d" /></Relationships>
</file>