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481b3c05544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75</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Wellman, Kuderer, Hunt, Mullet, Nguyen, and Wilson, C.</w:t>
      </w:r>
    </w:p>
    <w:p/>
    <w:p>
      <w:r>
        <w:rPr>
          <w:t xml:space="preserve">Read first time 01/20/21.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computer science credits for the purpose of graduation requirements; and amending RCW 28A.230.300 and 28A.230.090.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2019 c 180 s 2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u w:val="single"/>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u w:val="single"/>
        </w:rPr>
        <w:t xml:space="preserve">(i) Prior to the substitution, the school counselor provides the student and the student's parent or guardian with written notification of the consequences of the substitution on postsecondary opportunities;</w:t>
      </w:r>
    </w:p>
    <w:p>
      <w:pPr>
        <w:spacing w:before="0" w:after="0" w:line="408" w:lineRule="exact"/>
        <w:ind w:left="0" w:right="0" w:firstLine="576"/>
        <w:jc w:val="left"/>
      </w:pPr>
      <w:r>
        <w:rPr>
          <w:u w:val="single"/>
        </w:rPr>
        <w:t xml:space="preserve">(ii) The student, the student's parent or guardian, and the student's school counselor or principal agree to the substitution; and</w:t>
      </w:r>
    </w:p>
    <w:p>
      <w:pPr>
        <w:spacing w:before="0" w:after="0" w:line="408" w:lineRule="exact"/>
        <w:ind w:left="0" w:right="0" w:firstLine="576"/>
        <w:jc w:val="left"/>
      </w:pPr>
      <w:r>
        <w:rPr>
          <w:u w:val="single"/>
        </w:rPr>
        <w:t xml:space="preserve">(iii) The substitution is aligned with the student's high school and beyond plan.</w:t>
      </w:r>
    </w:p>
    <w:p>
      <w:pPr>
        <w:spacing w:before="0" w:after="0" w:line="408" w:lineRule="exact"/>
        <w:ind w:left="0" w:right="0" w:firstLine="576"/>
        <w:jc w:val="left"/>
      </w:pPr>
      <w:r>
        <w:rPr>
          <w:u w:val="single"/>
        </w:rPr>
        <w:t xml:space="preserve">(b) A substitution permitted under this subsection (4) may only be used once per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r>
        <w:rPr>
          <w:u w:val="single"/>
        </w:rPr>
        <w:t xml:space="preserve">, or as provided in RCW 28A.230.300(4)</w:t>
      </w:r>
      <w:r>
        <w:rPr/>
        <w:t xml:space="preserve">.</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NumType w:start="1"/>
      <w:footerReference xmlns:r="http://schemas.openxmlformats.org/officeDocument/2006/relationships" r:id="Ra95ac217ff9549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8eb31a33524f2b" /><Relationship Type="http://schemas.openxmlformats.org/officeDocument/2006/relationships/footer" Target="/word/footer1.xml" Id="Ra95ac217ff954982" /></Relationships>
</file>