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05690ba134a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5313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Randall, Darneille, Das, Dhingra, Frockt, Hunt, Keiser, Kuderer, Lovelett, Nguyen, Nobles, Pedersen, Robinson, Stanford, Van De Wege,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discrimination; amending RCW 49.60.178, 41.05.017, and 48.43.0128;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2020 c 52 s 9 are each amended to read as follows:</w:t>
      </w:r>
    </w:p>
    <w:p>
      <w:pPr>
        <w:spacing w:before="0" w:after="0" w:line="408" w:lineRule="exact"/>
        <w:ind w:left="0" w:right="0" w:firstLine="576"/>
        <w:jc w:val="left"/>
      </w:pPr>
      <w:r>
        <w:rPr>
          <w:u w:val="single"/>
        </w:rPr>
        <w:t xml:space="preserve">(1)</w:t>
      </w:r>
      <w:r>
        <w:rPr/>
        <w:t xml:space="preserve">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or the presence of any sensory, mental, or physical disability or the use of a trained dog guide or service animal by a person with disabilities: PROVIDED, That a practice which is not unlawful under RCW 48.30.300, 48.44.220, </w:t>
      </w:r>
      <w:r>
        <w:t>((</w:t>
      </w:r>
      <w:r>
        <w:rPr>
          <w:strike/>
        </w:rPr>
        <w:t xml:space="preserve">or</w:t>
      </w:r>
      <w:r>
        <w:t>))</w:t>
      </w:r>
      <w:r>
        <w:rPr/>
        <w:t xml:space="preserve"> 48.46.370</w:t>
      </w:r>
      <w:r>
        <w:rPr>
          <w:u w:val="single"/>
        </w:rPr>
        <w:t xml:space="preserve">, or 48.43.0128</w:t>
      </w:r>
      <w:r>
        <w:rPr/>
        <w:t xml:space="preserve">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u w:val="single"/>
        </w:rPr>
        <w:t xml:space="preserve">(2)</w:t>
      </w:r>
      <w:r>
        <w:rPr/>
        <w:t xml:space="preserve"> The fact that such unfair practice may also be a violation of chapter 48.30, </w:t>
      </w:r>
      <w:r>
        <w:rPr>
          <w:u w:val="single"/>
        </w:rPr>
        <w:t xml:space="preserve">48.43,</w:t>
      </w:r>
      <w:r>
        <w:rPr/>
        <w:t xml:space="preserve"> 48.44, or 48.46 RCW does not constitute a defense to an action brought under this section.</w:t>
      </w:r>
    </w:p>
    <w:p>
      <w:pPr>
        <w:spacing w:before="0" w:after="0" w:line="408" w:lineRule="exact"/>
        <w:ind w:left="0" w:right="0" w:firstLine="576"/>
        <w:jc w:val="left"/>
      </w:pPr>
      <w:r>
        <w:rPr>
          <w:u w:val="single"/>
        </w:rPr>
        <w:t xml:space="preserve">(3)</w:t>
      </w:r>
      <w:r>
        <w:rPr/>
        <w:t xml:space="preserve"> The insurance commissioner, under RCW 48.30.300 </w:t>
      </w:r>
      <w:r>
        <w:rPr>
          <w:u w:val="single"/>
        </w:rPr>
        <w:t xml:space="preserve">and 48.43.0128</w:t>
      </w:r>
      <w:r>
        <w:rPr/>
        <w:t xml:space="preserve">,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2019 c 427 s 21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w:t>
      </w:r>
      <w:r>
        <w:rPr>
          <w:u w:val="single"/>
        </w:rPr>
        <w:t xml:space="preserve">48.43.0128,</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2020 c 228 s 9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w:t>
      </w:r>
      <w:r>
        <w:t>((</w:t>
      </w:r>
      <w:r>
        <w:rPr>
          <w:strike/>
        </w:rPr>
        <w:t xml:space="preserve">an issuer</w:t>
      </w:r>
      <w:r>
        <w:t>))</w:t>
      </w:r>
      <w:r>
        <w:rPr/>
        <w:t xml:space="preserve"> </w:t>
      </w:r>
      <w:r>
        <w:rPr>
          <w:u w:val="single"/>
        </w:rPr>
        <w:t xml:space="preserve">a carrier</w:t>
      </w:r>
      <w:r>
        <w:rPr/>
        <w:t xml:space="preserve"> from appropriately utilizing reasonable medical management techniques.</w:t>
      </w:r>
    </w:p>
    <w:p>
      <w:pPr>
        <w:spacing w:before="0" w:after="0" w:line="408" w:lineRule="exact"/>
        <w:ind w:left="0" w:right="0" w:firstLine="576"/>
        <w:jc w:val="left"/>
      </w:pPr>
      <w:r>
        <w:rPr/>
        <w:t xml:space="preserve">(3) </w:t>
      </w:r>
      <w:r>
        <w:rPr>
          <w:u w:val="single"/>
        </w:rPr>
        <w:t xml:space="preserve">For health plans issued or renewed on or after January 1, 2022:</w:t>
      </w:r>
    </w:p>
    <w:p>
      <w:pPr>
        <w:spacing w:before="0" w:after="0" w:line="408" w:lineRule="exact"/>
        <w:ind w:left="0" w:right="0" w:firstLine="576"/>
        <w:jc w:val="left"/>
      </w:pPr>
      <w:r>
        <w:rPr>
          <w:u w:val="single"/>
        </w:rPr>
        <w:t xml:space="preserve">(a) A health carrier may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u w:val="single"/>
        </w:rPr>
        <w:t xml:space="preserve">(b)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u w:val="single"/>
        </w:rPr>
        <w:t xml:space="preserve">(c)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u w:val="single"/>
        </w:rPr>
        <w:t xml:space="preserve">(d) Health carriers must comply with all network access rules and requirements established by the commissioner.</w:t>
      </w:r>
    </w:p>
    <w:p>
      <w:pPr>
        <w:spacing w:before="0" w:after="0" w:line="408" w:lineRule="exact"/>
        <w:ind w:left="0" w:right="0" w:firstLine="576"/>
        <w:jc w:val="left"/>
      </w:pPr>
      <w:r>
        <w:rPr>
          <w:u w:val="single"/>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u w:val="single"/>
        </w:rPr>
        <w:t xml:space="preserve">(5) Nothing in this section may be construed to mandate coverage of a service that is not medically necessary.</w:t>
      </w:r>
    </w:p>
    <w:p>
      <w:pPr>
        <w:spacing w:before="0" w:after="0" w:line="408" w:lineRule="exact"/>
        <w:ind w:left="0" w:right="0" w:firstLine="576"/>
        <w:jc w:val="left"/>
      </w:pPr>
      <w:r>
        <w:rPr>
          <w:u w:val="single"/>
        </w:rPr>
        <w:t xml:space="preserve">(6)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biannually and post the report on its website.</w:t>
      </w:r>
    </w:p>
    <w:p>
      <w:pPr>
        <w:spacing w:before="0" w:after="0" w:line="408" w:lineRule="exact"/>
        <w:ind w:left="0" w:right="0" w:firstLine="576"/>
        <w:jc w:val="left"/>
      </w:pPr>
      <w:r>
        <w:rPr>
          <w:u w:val="single"/>
        </w:rPr>
        <w:t xml:space="preserve">(7) The commissioner shall adopt any rules necessary to implement subsections (3), (4), and (5) of this section.</w:t>
      </w:r>
    </w:p>
    <w:p>
      <w:pPr>
        <w:spacing w:before="0" w:after="0" w:line="408" w:lineRule="exact"/>
        <w:ind w:left="0" w:right="0" w:firstLine="576"/>
        <w:jc w:val="left"/>
      </w:pPr>
      <w:r>
        <w:rPr>
          <w:u w:val="single"/>
        </w:rPr>
        <w:t xml:space="preserve">(8)</w:t>
      </w:r>
      <w:r>
        <w:rPr/>
        <w:t xml:space="preserve"> Unless preempted by federal law, the commissioner shall adopt any rules necessary to implement </w:t>
      </w:r>
      <w:r>
        <w:rPr>
          <w:u w:val="single"/>
        </w:rPr>
        <w:t xml:space="preserve">subsections (1) and (2) of</w:t>
      </w:r>
      <w:r>
        <w:rPr/>
        <w:t xml:space="preserve">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gender affirming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Beginning January 1, 2022:</w:t>
      </w:r>
    </w:p>
    <w:p>
      <w:pPr>
        <w:spacing w:before="0" w:after="0" w:line="408" w:lineRule="exact"/>
        <w:ind w:left="0" w:right="0" w:firstLine="576"/>
        <w:jc w:val="left"/>
      </w:pPr>
      <w:r>
        <w:rPr/>
        <w:t xml:space="preserve">(a) The authority and any managed care plans delivering or administering services purchased or contracted for by the authority may not apply categorical cosmetic or blanket exclusions to gender affirming treatment.</w:t>
      </w:r>
    </w:p>
    <w:p>
      <w:pPr>
        <w:spacing w:before="0" w:after="0" w:line="408" w:lineRule="exact"/>
        <w:ind w:left="0" w:right="0" w:firstLine="576"/>
        <w:jc w:val="left"/>
      </w:pPr>
      <w:r>
        <w:rPr/>
        <w:t xml:space="preserve">(b) Facial feminization surgeries and facial gender affirming treatment, such as tracheal shaves, hair electrolysis, and other care such as mastectomies, breast reductions, breast implants, or any combination of gender affirming procedures, including revisions to prior treatment, when prescribed as gender affirming treatment, may not be excluded as cosmetic.</w:t>
      </w:r>
    </w:p>
    <w:p>
      <w:pPr>
        <w:spacing w:before="0" w:after="0" w:line="408" w:lineRule="exact"/>
        <w:ind w:left="0" w:right="0" w:firstLine="576"/>
        <w:jc w:val="left"/>
      </w:pPr>
      <w:r>
        <w:rPr/>
        <w:t xml:space="preserve">(c) The authority and managed care plans administering services purchased or contracted for by the authority may not issue an adverse benefit determination denying or limiting access to gender affirming treatment,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If the authority and managed care plans administering services purchased or contracted for by the authority do not have an adequate network for gender affirming treatment, they shall ensure the delivery of timely and geographically accessible medically necessary gender affirming treatment at no greater expense than if they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t xml:space="preserve">(3) For the purposes of this section, "gender affirming treatment" means a service or product that a health care provider, as defined in RCW 70.02.010, prescribes to an individual to support and affirm the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t xml:space="preserve">(4) Nothing in this section may be construed to mandate coverage of a service that is not medically necessary.</w:t>
      </w:r>
    </w:p>
    <w:p>
      <w:pPr>
        <w:spacing w:before="0" w:after="0" w:line="408" w:lineRule="exact"/>
        <w:ind w:left="0" w:right="0" w:firstLine="576"/>
        <w:jc w:val="left"/>
      </w:pPr>
      <w:r>
        <w:rPr/>
        <w:t xml:space="preserve">(5) The authority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Gender Affirming Treatment Act.</w:t>
      </w:r>
    </w:p>
    <w:p/>
    <w:p>
      <w:pPr>
        <w:jc w:val="center"/>
      </w:pPr>
      <w:r>
        <w:rPr>
          <w:b/>
        </w:rPr>
        <w:t>--- END ---</w:t>
      </w:r>
    </w:p>
    <w:sectPr>
      <w:pgNumType w:start="1"/>
      <w:footerReference xmlns:r="http://schemas.openxmlformats.org/officeDocument/2006/relationships" r:id="R5e74aa8b842843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a4b84203c74cd6" /><Relationship Type="http://schemas.openxmlformats.org/officeDocument/2006/relationships/footer" Target="/word/footer1.xml" Id="R5e74aa8b842843ae" /></Relationships>
</file>