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b327c771b47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Wilson, L., Randall, and Rivers</w:t>
      </w:r>
    </w:p>
    <w:p/>
    <w:p>
      <w:r>
        <w:rPr>
          <w:t xml:space="preserve">Read first time 01/25/21.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districts and education;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2020 c 94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that share a common border with Canada and are surrounded on three sides by water or are bounded on the north by Bremerton, on the west by Mason county, on the south by Pierce county, and on the east by the Puget Sound or are in Pierce county and surrounded by Case Inlet, Drayton Passage, Pitt Passage, and Carr Inlet, may also establish or participate in the provision of health clinic services.</w:t>
      </w:r>
    </w:p>
    <w:p>
      <w:pPr>
        <w:spacing w:before="0" w:after="0" w:line="408" w:lineRule="exact"/>
        <w:ind w:left="0" w:right="0" w:firstLine="576"/>
        <w:jc w:val="left"/>
      </w:pPr>
      <w:r>
        <w:rPr>
          <w:u w:val="single"/>
        </w:rPr>
        <w:t xml:space="preserve">(3) Fire protection districts may provide training, expend resources, and enter into interlocal agreements to mitigate the injuries and reduce the level of harm and occurrence in calls they respond to. Examples of trainings are those that may directly or indirectly address worker and workplace safety, teach first aid, prevent injuries, and reduce industrial-related accidents.</w:t>
      </w:r>
    </w:p>
    <w:p/>
    <w:p>
      <w:pPr>
        <w:jc w:val="center"/>
      </w:pPr>
      <w:r>
        <w:rPr>
          <w:b/>
        </w:rPr>
        <w:t>--- END ---</w:t>
      </w:r>
    </w:p>
    <w:sectPr>
      <w:pgNumType w:start="1"/>
      <w:footerReference xmlns:r="http://schemas.openxmlformats.org/officeDocument/2006/relationships" r:id="R1fc9b39bdaa84a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364f5d8874436" /><Relationship Type="http://schemas.openxmlformats.org/officeDocument/2006/relationships/footer" Target="/word/footer1.xml" Id="R1fc9b39bdaa84adb" /></Relationships>
</file>