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a31be57ce466e" /></Relationships>
</file>

<file path=word/document.xml><?xml version="1.0" encoding="utf-8"?>
<w:document xmlns:w="http://schemas.openxmlformats.org/wordprocessingml/2006/main">
  <w:body>
    <w:p>
      <w:pPr>
        <w:jc w:val="center"/>
      </w:pPr>
      <w:r>
        <w:t>SENATE RESOLUTION</w:t>
      </w:r>
    </w:p>
    <w:p>
      <w:pPr>
        <w:jc w:val="center"/>
      </w:pPr>
      <w:r>
        <w:t>8600</w:t>
      </w:r>
    </w:p>
    <w:p/>
    <w:p/>
    <w:p>
      <w:r>
        <w:t xml:space="preserve">By </w:t>
      </w:r>
      <w:r>
        <w:t>Senator Liias</w:t>
      </w:r>
    </w:p>
    <w:p/>
    <w:p>
      <w:pPr>
        <w:spacing w:before="0" w:after="0" w:line="240" w:lineRule="exact"/>
        <w:ind w:left="0" w:right="0" w:firstLine="576"/>
        <w:jc w:val="left"/>
      </w:pPr>
      <w:r>
        <w:rPr/>
        <w:t xml:space="preserve">BE IT RESOLVED, That the Rules of the Senate for the 2019 Regular Session of the 66th Legislature, as amended in the 2019 Regular Session and the 2020 Regular Session, be adopted as amended as the Rules of the Senate for the 2021 Regular Session of the 67th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0"/>
        <w:jc w:val="center"/>
      </w:pPr>
      <w:r>
        <w:rPr>
          <w:b/>
        </w:rPr>
        <w:t xml:space="preserve">OF THE</w:t>
      </w:r>
    </w:p>
    <w:p>
      <w:pPr>
        <w:spacing w:before="0" w:after="0" w:line="240" w:lineRule="exact"/>
        <w:ind w:left="0" w:right="0" w:firstLine="0"/>
        <w:jc w:val="center"/>
      </w:pPr>
      <w:r>
        <w:rPr>
          <w:b/>
        </w:rPr>
        <w:t xml:space="preserve">SENATE</w:t>
      </w:r>
    </w:p>
    <w:p>
      <w:pPr>
        <w:spacing w:before="0" w:after="0" w:line="240" w:lineRule="exact"/>
        <w:ind w:left="0" w:right="0" w:firstLine="0"/>
        <w:jc w:val="center"/>
      </w:pPr>
      <w:r>
        <w:rPr>
          <w:b/>
        </w:rPr>
        <w:t xml:space="preserve">SIXTY-</w:t>
      </w:r>
      <w:r>
        <w:t>((</w:t>
      </w:r>
      <w:r>
        <w:rPr>
          <w:b/>
          <w:strike/>
        </w:rPr>
        <w:t xml:space="preserve">SIXTH</w:t>
      </w:r>
      <w:r>
        <w:t>))</w:t>
      </w:r>
      <w:r>
        <w:rPr>
          <w:b/>
        </w:rPr>
        <w:t xml:space="preserve"> </w:t>
      </w:r>
      <w:r>
        <w:rPr>
          <w:b/>
          <w:u w:val="single"/>
        </w:rPr>
        <w:t xml:space="preserve">SEVENTH</w:t>
      </w:r>
      <w:r>
        <w:rPr>
          <w:b/>
        </w:rPr>
        <w:t xml:space="preserve"> LEGISLATURE</w:t>
      </w:r>
    </w:p>
    <w:p>
      <w:pPr>
        <w:spacing w:before="0" w:after="0" w:line="240" w:lineRule="exact"/>
        <w:ind w:left="0" w:right="0" w:firstLine="0"/>
        <w:jc w:val="center"/>
      </w:pPr>
      <w:r>
        <w:t>((</w:t>
      </w:r>
      <w:r>
        <w:rPr>
          <w:b/>
          <w:strike/>
        </w:rPr>
        <w:t xml:space="preserve">2019</w:t>
      </w:r>
      <w:r>
        <w:t>))</w:t>
      </w:r>
      <w:r>
        <w:rPr>
          <w:b/>
        </w:rPr>
        <w:t xml:space="preserve"> </w:t>
      </w:r>
      <w:r>
        <w:rPr>
          <w:b/>
          <w:u w:val="single"/>
        </w:rPr>
        <w:t xml:space="preserve">2021</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Facilities and Operations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Confirmation of Gubernatorial Appointees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70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Emergency Resolution Authorized</w:t>
            </w:r>
          </w:p>
        </w:tc>
      </w:tr>
    </w:tbl>
    <w:p>
      <w:pPr>
        <w:spacing w:before="0" w:after="0" w:line="240" w:lineRule="exact"/>
        <w:ind w:left="0" w:right="0" w:firstLine="0"/>
        <w:jc w:val="center"/>
      </w:pPr>
      <w:r>
        <w:rPr>
          <w:b/>
        </w:rPr>
        <w:t xml:space="preserve">SECTION I</w:t>
      </w:r>
    </w:p>
    <w:p>
      <w:pPr>
        <w:spacing w:before="0" w:after="0" w:line="240" w:lineRule="exact"/>
        <w:ind w:left="0" w:right="0" w:firstLine="0"/>
        <w:jc w:val="center"/>
      </w:pPr>
      <w:r>
        <w:rPr>
          <w:b/>
        </w:rPr>
        <w:t xml:space="preserve">OFFICERS-MEMBERS-EMPLOYEES</w:t>
      </w:r>
    </w:p>
    <w:p>
      <w:pPr>
        <w:spacing w:before="0" w:after="0" w:line="240" w:lineRule="exact"/>
        <w:ind w:left="0" w:right="0" w:firstLine="0"/>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as provided for in the state Constitution.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when the secretary of the senate receives notice that the lieutenant governor is unable to preside or is unable to confirm the lieutenant governor's availability within a reasonable time. The president pro tempore shall serve as the vice chair of the committee on rules. The senate shall also elect </w:t>
      </w:r>
      <w:r>
        <w:t>((</w:t>
      </w:r>
      <w:r>
        <w:rPr>
          <w:strike/>
        </w:rPr>
        <w:t xml:space="preserve">a</w:t>
      </w:r>
      <w:r>
        <w:t>))</w:t>
      </w:r>
      <w:r>
        <w:rPr/>
        <w:t xml:space="preserve"> </w:t>
      </w:r>
      <w:r>
        <w:rPr>
          <w:u w:val="single"/>
        </w:rPr>
        <w:t xml:space="preserve">at least one</w:t>
      </w:r>
      <w:r>
        <w:rPr/>
        <w:t xml:space="preserve">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the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is prohibited within the senate chamber during floor session.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Members of the senate are subject to the senate's policy on appropriate workplace conduct. Conduct in violation of the policy may result in disciplinary action.</w:t>
      </w:r>
    </w:p>
    <w:p>
      <w:pPr>
        <w:spacing w:before="120" w:after="0" w:line="240" w:lineRule="exact"/>
        <w:ind w:left="0" w:right="0" w:firstLine="576"/>
        <w:jc w:val="left"/>
      </w:pPr>
      <w:r>
        <w:rPr/>
        <w:t xml:space="preserve">6.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OPERATIONS AND MANAGEMENT</w:t>
      </w:r>
    </w:p>
    <w:p>
      <w:pPr>
        <w:spacing w:before="0" w:after="0" w:line="240" w:lineRule="exact"/>
        <w:ind w:left="0" w:right="0" w:firstLine="0"/>
        <w:jc w:val="center"/>
      </w:pPr>
      <w:r>
        <w:rPr>
          <w:b/>
        </w:rPr>
        <w:t xml:space="preserve">Facilities and Operations</w:t>
      </w:r>
    </w:p>
    <w:p>
      <w:pPr>
        <w:spacing w:before="120" w:after="0" w:line="240" w:lineRule="exact"/>
        <w:ind w:left="0" w:right="0" w:firstLine="576"/>
        <w:jc w:val="left"/>
      </w:pPr>
      <w:r>
        <w:rPr>
          <w:b/>
        </w:rPr>
        <w:t xml:space="preserve">Rule 8.</w:t>
      </w:r>
      <w:r>
        <w:rPr/>
        <w:t xml:space="preserve"> 1. After the election of new caucus leadership at the beginning of the first regular session during a legislative biennium or anytime during the legislative biennium that a different caucus becomes the majority caucus, the majority caucus shall designate four members and the minority caucus shall designate three members to serve on the facilities and operations committee. Each caucus may also designate an alternate. The chair of the </w:t>
      </w:r>
      <w:r>
        <w:t>((</w:t>
      </w:r>
      <w:r>
        <w:rPr>
          <w:strike/>
        </w:rPr>
        <w:t xml:space="preserve">majority caucus shall be the chair of the</w:t>
      </w:r>
      <w:r>
        <w:t>))</w:t>
      </w:r>
      <w:r>
        <w:rPr/>
        <w:t xml:space="preserve"> facilities and operations committee </w:t>
      </w:r>
      <w:r>
        <w:rPr>
          <w:u w:val="single"/>
        </w:rPr>
        <w:t xml:space="preserve">must be selected by a majority vote of the members of the committee</w:t>
      </w:r>
      <w:r>
        <w:rPr/>
        <w:t xml:space="preserve">. If a different caucus becomes the majority caucus anytime during the legislative biennium, the operation of the senate shall transfer to the newly designated members after the leadership of the new majority caucus is determined.</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t xml:space="preserve">3. The facilities and operations committee is authorized to adopt respectful workplace policies.</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are subject to the senate's policy on appropriate workplace conduct. Conduct that constitutes prohibited conduct under the policy may result in restrictions, including, but not limited to, prohibitions on unaccompanied movement within the senate.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shall develop security procedures to protect the senate, including its members, staff, and the visiting public.</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RULES AND ORDER</w:t>
      </w:r>
    </w:p>
    <w:p>
      <w:pPr>
        <w:spacing w:before="0" w:after="0" w:line="240" w:lineRule="exact"/>
        <w:ind w:left="0" w:right="0" w:firstLine="0"/>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FIRST.</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standing committees and standing subcommittees.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select committees.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FOURTH.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house of representatives.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FIFTH.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SIXTH.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EIGHTH.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NINTH.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be added to the resolution only if the member signs the resolution, except by unanimous consent of the senate. Members shall have until thirty minutes after the senate is convened the following day the senate is in a regular or pro forma session to add or remove their names to the floor resolution. A motion may be made to close the period for signatures at an earlier time.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except as provided for in Senate Rule 7, subsection 4,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as provided for in the state Constitution.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or subcommittee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0"/>
        <w:jc w:val="center"/>
      </w:pPr>
      <w:r>
        <w:rPr>
          <w:b/>
        </w:rPr>
        <w:t xml:space="preserve">SECTION IV</w:t>
      </w:r>
    </w:p>
    <w:p>
      <w:pPr>
        <w:spacing w:before="0" w:after="0" w:line="240" w:lineRule="exact"/>
        <w:ind w:left="0" w:right="0" w:firstLine="0"/>
        <w:jc w:val="center"/>
      </w:pPr>
      <w:r>
        <w:rPr>
          <w:b/>
        </w:rPr>
        <w:t xml:space="preserve">PARLIAMENTARY PROCEDURE</w:t>
      </w:r>
    </w:p>
    <w:p>
      <w:pPr>
        <w:spacing w:before="0" w:after="0" w:line="240" w:lineRule="exact"/>
        <w:ind w:left="0" w:right="0" w:firstLine="0"/>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request recognition by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two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1.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t xml:space="preserve">2. When a member appeals the decision of the presiding officer, the presiding officer may not preside over the appeal.</w:t>
      </w:r>
    </w:p>
    <w:p>
      <w:pPr>
        <w:spacing w:before="0" w:after="0" w:line="240" w:lineRule="exact"/>
        <w:ind w:left="0" w:right="0" w:firstLine="576"/>
        <w:jc w:val="left"/>
      </w:pPr>
      <w:r>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of the senate,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0"/>
        <w:jc w:val="center"/>
      </w:pPr>
      <w:r>
        <w:rPr>
          <w:b/>
        </w:rPr>
        <w:t xml:space="preserve">SECTION V</w:t>
      </w:r>
    </w:p>
    <w:p>
      <w:pPr>
        <w:spacing w:before="0" w:after="0" w:line="240" w:lineRule="exact"/>
        <w:ind w:left="0" w:right="0" w:firstLine="0"/>
        <w:jc w:val="center"/>
      </w:pPr>
      <w:r>
        <w:rPr>
          <w:b/>
        </w:rPr>
        <w:t xml:space="preserve">COMMITTEES</w:t>
      </w:r>
    </w:p>
    <w:p>
      <w:pPr>
        <w:spacing w:before="0" w:after="0" w:line="240" w:lineRule="exact"/>
        <w:ind w:left="0" w:right="0" w:firstLine="0"/>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and standing subcommittees on the part of the senate. The appointment of the conference, special, joint and standing committees and standing subcommittees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standing subcommittee, such committee or standing subcommittee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t>((</w:t>
      </w:r>
      <w:r>
        <w:rPr>
          <w:strike/>
        </w:rPr>
        <w:t xml:space="preserve">1. Agriculture, Water, Natural Resources &amp; Parks</w:t>
      </w:r>
      <w:r>
        <w:tab/>
      </w:r>
      <w:r>
        <w:rPr>
          <w:strike/>
        </w:rPr>
        <w:t xml:space="preserve">7</w:t>
      </w:r>
    </w:p>
    <w:p>
      <w:pPr>
        <w:spacing w:before="0" w:after="0" w:line="240" w:lineRule="exact"/>
        <w:ind w:left="0" w:right="0" w:firstLine="576"/>
        <w:jc w:val="left"/>
        <w:tabs>
          <w:tab w:val="right" w:leader="dot" w:pos="9936"/>
        </w:tabs>
      </w:pPr>
      <w:r>
        <w:rPr>
          <w:strike/>
        </w:rPr>
        <w:t xml:space="preserve">2. Early Learning &amp; K-12 Education</w:t>
      </w:r>
      <w:r>
        <w:tab/>
      </w:r>
      <w:r>
        <w:rPr>
          <w:strike/>
        </w:rPr>
        <w:t xml:space="preserve">11</w:t>
      </w:r>
    </w:p>
    <w:p>
      <w:pPr>
        <w:spacing w:before="0" w:after="0" w:line="240" w:lineRule="exact"/>
        <w:ind w:left="0" w:right="0" w:firstLine="576"/>
        <w:jc w:val="left"/>
        <w:tabs>
          <w:tab w:val="right" w:leader="dot" w:pos="9936"/>
        </w:tabs>
      </w:pPr>
      <w:r>
        <w:rPr>
          <w:strike/>
        </w:rPr>
        <w:t xml:space="preserve">3. Environment, Energy, &amp; Technology</w:t>
      </w:r>
      <w:r>
        <w:tab/>
      </w:r>
      <w:r>
        <w:rPr>
          <w:strike/>
        </w:rPr>
        <w:t xml:space="preserve">15</w:t>
      </w:r>
    </w:p>
    <w:p>
      <w:pPr>
        <w:spacing w:before="0" w:after="0" w:line="240" w:lineRule="exact"/>
        <w:ind w:left="0" w:right="0" w:firstLine="576"/>
        <w:jc w:val="left"/>
        <w:tabs>
          <w:tab w:val="right" w:leader="dot" w:pos="9936"/>
        </w:tabs>
      </w:pPr>
      <w:r>
        <w:rPr>
          <w:strike/>
        </w:rPr>
        <w:t xml:space="preserve">4. Financial Institutions, Economic Development &amp; Trade</w:t>
      </w:r>
      <w:r>
        <w:tab/>
      </w:r>
      <w:r>
        <w:rPr>
          <w:strike/>
        </w:rPr>
        <w:t xml:space="preserve">7</w:t>
      </w:r>
    </w:p>
    <w:p>
      <w:pPr>
        <w:spacing w:before="0" w:after="0" w:line="240" w:lineRule="exact"/>
        <w:ind w:left="0" w:right="0" w:firstLine="576"/>
        <w:jc w:val="left"/>
        <w:tabs>
          <w:tab w:val="right" w:leader="dot" w:pos="9936"/>
        </w:tabs>
      </w:pPr>
      <w:r>
        <w:rPr>
          <w:strike/>
        </w:rPr>
        <w:t xml:space="preserve">5. Health &amp; Long-Term Care</w:t>
      </w:r>
      <w:r>
        <w:tab/>
      </w:r>
      <w:r>
        <w:rPr>
          <w:strike/>
        </w:rPr>
        <w:t xml:space="preserve">11</w:t>
      </w:r>
    </w:p>
    <w:p>
      <w:pPr>
        <w:spacing w:before="0" w:after="0" w:line="240" w:lineRule="exact"/>
        <w:ind w:left="0" w:right="0" w:firstLine="576"/>
        <w:jc w:val="left"/>
        <w:tabs>
          <w:tab w:val="right" w:leader="dot" w:pos="9936"/>
        </w:tabs>
      </w:pPr>
      <w:r>
        <w:rPr>
          <w:strike/>
        </w:rPr>
        <w:t xml:space="preserve">6. Higher Education &amp; Workforce Development</w:t>
      </w:r>
      <w:r>
        <w:tab/>
      </w:r>
      <w:r>
        <w:rPr>
          <w:strike/>
        </w:rPr>
        <w:t xml:space="preserve">5</w:t>
      </w:r>
    </w:p>
    <w:p>
      <w:pPr>
        <w:spacing w:before="0" w:after="0" w:line="240" w:lineRule="exact"/>
        <w:ind w:left="0" w:right="0" w:firstLine="576"/>
        <w:jc w:val="left"/>
        <w:tabs>
          <w:tab w:val="right" w:leader="dot" w:pos="9936"/>
        </w:tabs>
      </w:pPr>
      <w:r>
        <w:rPr>
          <w:strike/>
        </w:rPr>
        <w:t xml:space="preserve">7. Housing Stability &amp; Affordability</w:t>
      </w:r>
      <w:r>
        <w:tab/>
      </w:r>
      <w:r>
        <w:rPr>
          <w:strike/>
        </w:rPr>
        <w:t xml:space="preserve">7</w:t>
      </w:r>
    </w:p>
    <w:p>
      <w:pPr>
        <w:spacing w:before="0" w:after="0" w:line="240" w:lineRule="exact"/>
        <w:ind w:left="0" w:right="0" w:firstLine="576"/>
        <w:jc w:val="left"/>
        <w:tabs>
          <w:tab w:val="right" w:leader="dot" w:pos="9936"/>
        </w:tabs>
      </w:pPr>
      <w:r>
        <w:rPr>
          <w:strike/>
        </w:rPr>
        <w:t xml:space="preserve">8. Human Services, Reentry &amp; Rehabilitation</w:t>
      </w:r>
      <w:r>
        <w:tab/>
      </w:r>
      <w:r>
        <w:rPr>
          <w:strike/>
        </w:rPr>
        <w:t xml:space="preserve">7</w:t>
      </w:r>
    </w:p>
    <w:p>
      <w:pPr>
        <w:spacing w:before="0" w:after="0" w:line="240" w:lineRule="exact"/>
        <w:ind w:left="0" w:right="0" w:firstLine="576"/>
        <w:jc w:val="left"/>
        <w:tabs>
          <w:tab w:val="right" w:leader="dot" w:pos="9936"/>
        </w:tabs>
      </w:pPr>
      <w:r>
        <w:rPr>
          <w:strike/>
        </w:rPr>
        <w:t xml:space="preserve">9. Labor &amp; Commerce</w:t>
      </w:r>
      <w:r>
        <w:tab/>
      </w:r>
      <w:r>
        <w:rPr>
          <w:strike/>
        </w:rPr>
        <w:t xml:space="preserve">9</w:t>
      </w:r>
    </w:p>
    <w:p>
      <w:pPr>
        <w:spacing w:before="0" w:after="0" w:line="240" w:lineRule="exact"/>
        <w:ind w:left="0" w:right="0" w:firstLine="576"/>
        <w:jc w:val="left"/>
        <w:tabs>
          <w:tab w:val="right" w:leader="dot" w:pos="9936"/>
        </w:tabs>
      </w:pPr>
      <w:r>
        <w:rPr>
          <w:strike/>
        </w:rPr>
        <w:t xml:space="preserve">10. Law &amp; Justice</w:t>
      </w:r>
      <w:r>
        <w:tab/>
      </w:r>
      <w:r>
        <w:rPr>
          <w:strike/>
        </w:rPr>
        <w:t xml:space="preserve">7</w:t>
      </w:r>
    </w:p>
    <w:p>
      <w:pPr>
        <w:spacing w:before="0" w:after="0" w:line="240" w:lineRule="exact"/>
        <w:ind w:left="0" w:right="0" w:firstLine="576"/>
        <w:jc w:val="left"/>
        <w:tabs>
          <w:tab w:val="right" w:leader="dot" w:pos="9936"/>
        </w:tabs>
      </w:pPr>
      <w:r>
        <w:rPr>
          <w:strike/>
        </w:rPr>
        <w:t xml:space="preserve">11. Local Government</w:t>
      </w:r>
      <w:r>
        <w:tab/>
      </w:r>
      <w:r>
        <w:rPr>
          <w:strike/>
        </w:rPr>
        <w:t xml:space="preserve">5</w:t>
      </w:r>
    </w:p>
    <w:p>
      <w:pPr>
        <w:spacing w:before="0" w:after="0" w:line="240" w:lineRule="exact"/>
        <w:ind w:left="0" w:right="0" w:firstLine="576"/>
        <w:jc w:val="left"/>
        <w:tabs>
          <w:tab w:val="right" w:leader="dot" w:pos="9936"/>
        </w:tabs>
      </w:pPr>
      <w:r>
        <w:rPr>
          <w:strike/>
        </w:rPr>
        <w:t xml:space="preserve">12. Rules</w:t>
      </w:r>
      <w:r>
        <w:tab/>
      </w:r>
      <w:r>
        <w:rPr>
          <w:strike/>
        </w:rPr>
        <w:t xml:space="preserve"> 16 (plus the Lieutenant Governor)</w:t>
      </w:r>
    </w:p>
    <w:p>
      <w:pPr>
        <w:spacing w:before="0" w:after="0" w:line="240" w:lineRule="exact"/>
        <w:ind w:left="0" w:right="0" w:firstLine="576"/>
        <w:jc w:val="left"/>
        <w:tabs>
          <w:tab w:val="right" w:leader="dot" w:pos="9936"/>
        </w:tabs>
      </w:pPr>
      <w:r>
        <w:rPr>
          <w:strike/>
        </w:rPr>
        <w:t xml:space="preserve">13. State Government, Tribal Relations &amp; Elections</w:t>
      </w:r>
      <w:r>
        <w:tab/>
      </w:r>
      <w:r>
        <w:rPr>
          <w:strike/>
        </w:rPr>
        <w:t xml:space="preserve">7</w:t>
      </w:r>
    </w:p>
    <w:p>
      <w:pPr>
        <w:spacing w:before="0" w:after="0" w:line="240" w:lineRule="exact"/>
        <w:ind w:left="0" w:right="0" w:firstLine="576"/>
        <w:jc w:val="left"/>
        <w:tabs>
          <w:tab w:val="right" w:leader="dot" w:pos="9936"/>
        </w:tabs>
      </w:pPr>
      <w:r>
        <w:rPr>
          <w:strike/>
        </w:rPr>
        <w:t xml:space="preserve">14. Transportation</w:t>
      </w:r>
      <w:r>
        <w:tab/>
      </w:r>
      <w:r>
        <w:rPr>
          <w:strike/>
        </w:rPr>
        <w:t xml:space="preserve">15</w:t>
      </w:r>
    </w:p>
    <w:p>
      <w:pPr>
        <w:spacing w:before="0" w:after="0" w:line="240" w:lineRule="exact"/>
        <w:ind w:left="0" w:right="0" w:firstLine="576"/>
        <w:jc w:val="left"/>
        <w:tabs>
          <w:tab w:val="right" w:leader="dot" w:pos="9936"/>
        </w:tabs>
      </w:pPr>
      <w:r>
        <w:rPr>
          <w:strike/>
        </w:rPr>
        <w:t xml:space="preserve">15. Ways &amp; Means</w:t>
      </w:r>
      <w:r>
        <w:tab/>
      </w:r>
      <w:r>
        <w:rPr>
          <w:strike/>
        </w:rPr>
        <w:t xml:space="preserve">24</w:t>
      </w:r>
      <w:r>
        <w:t>))</w:t>
      </w:r>
    </w:p>
    <w:p>
      <w:pPr>
        <w:spacing w:before="0" w:after="0" w:line="240" w:lineRule="exact"/>
        <w:ind w:left="0" w:right="0" w:firstLine="576"/>
        <w:jc w:val="left"/>
        <w:tabs>
          <w:tab w:val="right" w:leader="dot" w:pos="9936"/>
        </w:tabs>
      </w:pPr>
      <w:r>
        <w:rPr>
          <w:u w:val="single"/>
        </w:rPr>
        <w:t xml:space="preserve">1. Agriculture, Water, Natural Resources &amp; Park</w:t>
      </w:r>
      <w:r>
        <w:tab/>
      </w:r>
      <w:r>
        <w:rPr>
          <w:u w:val="single"/>
        </w:rPr>
        <w:t xml:space="preserve">7</w:t>
      </w:r>
    </w:p>
    <w:p>
      <w:pPr>
        <w:spacing w:before="0" w:after="0" w:line="240" w:lineRule="exact"/>
        <w:ind w:left="0" w:right="0" w:firstLine="576"/>
        <w:jc w:val="left"/>
        <w:tabs>
          <w:tab w:val="right" w:leader="dot" w:pos="9936"/>
        </w:tabs>
      </w:pPr>
      <w:r>
        <w:rPr>
          <w:u w:val="single"/>
        </w:rPr>
        <w:t xml:space="preserve">2. Business, Financial Services &amp; Trade</w:t>
      </w:r>
      <w:r>
        <w:tab/>
      </w:r>
      <w:r>
        <w:rPr>
          <w:u w:val="single"/>
        </w:rPr>
        <w:t xml:space="preserve">7</w:t>
      </w:r>
    </w:p>
    <w:p>
      <w:pPr>
        <w:spacing w:before="0" w:after="0" w:line="240" w:lineRule="exact"/>
        <w:ind w:left="0" w:right="0" w:firstLine="576"/>
        <w:jc w:val="left"/>
        <w:tabs>
          <w:tab w:val="right" w:leader="dot" w:pos="9936"/>
        </w:tabs>
      </w:pPr>
      <w:r>
        <w:rPr>
          <w:u w:val="single"/>
        </w:rPr>
        <w:t xml:space="preserve">3. Early Learning &amp; K-12 Education</w:t>
      </w:r>
      <w:r>
        <w:tab/>
      </w:r>
      <w:r>
        <w:rPr>
          <w:u w:val="single"/>
        </w:rPr>
        <w:t xml:space="preserve">9</w:t>
      </w:r>
    </w:p>
    <w:p>
      <w:pPr>
        <w:spacing w:before="0" w:after="0" w:line="240" w:lineRule="exact"/>
        <w:ind w:left="0" w:right="0" w:firstLine="576"/>
        <w:jc w:val="left"/>
        <w:tabs>
          <w:tab w:val="right" w:leader="dot" w:pos="9936"/>
        </w:tabs>
      </w:pPr>
      <w:r>
        <w:rPr>
          <w:u w:val="single"/>
        </w:rPr>
        <w:t xml:space="preserve">4. Environment, Energy, &amp; Technology</w:t>
      </w:r>
      <w:r>
        <w:tab/>
      </w:r>
      <w:r>
        <w:rPr>
          <w:u w:val="single"/>
        </w:rPr>
        <w:t xml:space="preserve">13</w:t>
      </w:r>
    </w:p>
    <w:p>
      <w:pPr>
        <w:spacing w:before="0" w:after="0" w:line="240" w:lineRule="exact"/>
        <w:ind w:left="0" w:right="0" w:firstLine="576"/>
        <w:jc w:val="left"/>
        <w:tabs>
          <w:tab w:val="right" w:leader="dot" w:pos="9936"/>
        </w:tabs>
      </w:pPr>
      <w:r>
        <w:rPr>
          <w:u w:val="single"/>
        </w:rPr>
        <w:t xml:space="preserve">5. Health &amp; Long-Term Care</w:t>
      </w:r>
      <w:r>
        <w:tab/>
      </w:r>
      <w:r>
        <w:rPr>
          <w:u w:val="single"/>
        </w:rPr>
        <w:t xml:space="preserve">12</w:t>
      </w:r>
    </w:p>
    <w:p>
      <w:pPr>
        <w:spacing w:before="0" w:after="0" w:line="240" w:lineRule="exact"/>
        <w:ind w:left="0" w:right="0" w:firstLine="576"/>
        <w:jc w:val="left"/>
        <w:tabs>
          <w:tab w:val="right" w:leader="dot" w:pos="9936"/>
        </w:tabs>
      </w:pPr>
      <w:r>
        <w:rPr>
          <w:u w:val="single"/>
        </w:rPr>
        <w:t xml:space="preserve">6. Higher Education &amp; Workforce Development</w:t>
      </w:r>
      <w:r>
        <w:tab/>
      </w:r>
      <w:r>
        <w:rPr>
          <w:u w:val="single"/>
        </w:rPr>
        <w:t xml:space="preserve">5</w:t>
      </w:r>
    </w:p>
    <w:p>
      <w:pPr>
        <w:spacing w:before="0" w:after="0" w:line="240" w:lineRule="exact"/>
        <w:ind w:left="0" w:right="0" w:firstLine="576"/>
        <w:jc w:val="left"/>
        <w:tabs>
          <w:tab w:val="right" w:leader="dot" w:pos="9936"/>
        </w:tabs>
      </w:pPr>
      <w:r>
        <w:rPr>
          <w:u w:val="single"/>
        </w:rPr>
        <w:t xml:space="preserve">7. Housing &amp; Local Government</w:t>
      </w:r>
      <w:r>
        <w:tab/>
      </w:r>
      <w:r>
        <w:rPr>
          <w:u w:val="single"/>
        </w:rPr>
        <w:t xml:space="preserve">9</w:t>
      </w:r>
    </w:p>
    <w:p>
      <w:pPr>
        <w:spacing w:before="0" w:after="0" w:line="240" w:lineRule="exact"/>
        <w:ind w:left="0" w:right="0" w:firstLine="576"/>
        <w:jc w:val="left"/>
        <w:tabs>
          <w:tab w:val="right" w:leader="dot" w:pos="9936"/>
        </w:tabs>
      </w:pPr>
      <w:r>
        <w:rPr>
          <w:u w:val="single"/>
        </w:rPr>
        <w:t xml:space="preserve">8. Human Services, Reentry &amp; Rehabilitation</w:t>
      </w:r>
      <w:r>
        <w:tab/>
      </w:r>
      <w:r>
        <w:rPr>
          <w:u w:val="single"/>
        </w:rPr>
        <w:t xml:space="preserve">7</w:t>
      </w:r>
    </w:p>
    <w:p>
      <w:pPr>
        <w:spacing w:before="0" w:after="0" w:line="240" w:lineRule="exact"/>
        <w:ind w:left="0" w:right="0" w:firstLine="576"/>
        <w:jc w:val="left"/>
        <w:tabs>
          <w:tab w:val="right" w:leader="dot" w:pos="9936"/>
        </w:tabs>
      </w:pPr>
      <w:r>
        <w:rPr>
          <w:u w:val="single"/>
        </w:rPr>
        <w:t xml:space="preserve">9. Labor, Commerce &amp; Tribal Affairs</w:t>
      </w:r>
      <w:r>
        <w:tab/>
      </w:r>
      <w:r>
        <w:rPr>
          <w:u w:val="single"/>
        </w:rPr>
        <w:t xml:space="preserve">9</w:t>
      </w:r>
    </w:p>
    <w:p>
      <w:pPr>
        <w:spacing w:before="0" w:after="0" w:line="240" w:lineRule="exact"/>
        <w:ind w:left="0" w:right="0" w:firstLine="576"/>
        <w:jc w:val="left"/>
        <w:tabs>
          <w:tab w:val="right" w:leader="dot" w:pos="9936"/>
        </w:tabs>
      </w:pPr>
      <w:r>
        <w:rPr>
          <w:u w:val="single"/>
        </w:rPr>
        <w:t xml:space="preserve">10. Law &amp; Justice</w:t>
      </w:r>
      <w:r>
        <w:tab/>
      </w:r>
      <w:r>
        <w:rPr>
          <w:u w:val="single"/>
        </w:rPr>
        <w:t xml:space="preserve">9</w:t>
      </w:r>
    </w:p>
    <w:p>
      <w:pPr>
        <w:spacing w:before="0" w:after="0" w:line="240" w:lineRule="exact"/>
        <w:ind w:left="0" w:right="0" w:firstLine="576"/>
        <w:jc w:val="left"/>
        <w:tabs>
          <w:tab w:val="right" w:leader="dot" w:pos="9936"/>
        </w:tabs>
      </w:pPr>
      <w:r>
        <w:rPr>
          <w:u w:val="single"/>
        </w:rPr>
        <w:t xml:space="preserve">11. Rules</w:t>
      </w:r>
      <w:r>
        <w:tab/>
      </w:r>
      <w:r>
        <w:rPr>
          <w:u w:val="single"/>
        </w:rPr>
        <w:t xml:space="preserve">16 (plus the Lieutenant Governor)</w:t>
      </w:r>
    </w:p>
    <w:p>
      <w:pPr>
        <w:spacing w:before="0" w:after="0" w:line="240" w:lineRule="exact"/>
        <w:ind w:left="0" w:right="0" w:firstLine="576"/>
        <w:jc w:val="left"/>
        <w:tabs>
          <w:tab w:val="right" w:leader="dot" w:pos="9936"/>
        </w:tabs>
      </w:pPr>
      <w:r>
        <w:rPr>
          <w:u w:val="single"/>
        </w:rPr>
        <w:t xml:space="preserve">12. State Government &amp; Elections</w:t>
      </w:r>
      <w:r>
        <w:tab/>
      </w:r>
      <w:r>
        <w:rPr>
          <w:u w:val="single"/>
        </w:rPr>
        <w:t xml:space="preserve">5</w:t>
      </w:r>
    </w:p>
    <w:p>
      <w:pPr>
        <w:spacing w:before="0" w:after="0" w:line="240" w:lineRule="exact"/>
        <w:ind w:left="0" w:right="0" w:firstLine="576"/>
        <w:jc w:val="left"/>
        <w:tabs>
          <w:tab w:val="right" w:leader="dot" w:pos="9936"/>
        </w:tabs>
      </w:pPr>
      <w:r>
        <w:rPr>
          <w:u w:val="single"/>
        </w:rPr>
        <w:t xml:space="preserve">13. Transportation</w:t>
      </w:r>
      <w:r>
        <w:tab/>
      </w:r>
      <w:r>
        <w:rPr>
          <w:u w:val="single"/>
        </w:rPr>
        <w:t xml:space="preserve">15</w:t>
      </w:r>
    </w:p>
    <w:p>
      <w:pPr>
        <w:spacing w:before="0" w:after="0" w:line="240" w:lineRule="exact"/>
        <w:ind w:left="0" w:right="0" w:firstLine="576"/>
        <w:jc w:val="left"/>
        <w:tabs>
          <w:tab w:val="right" w:leader="dot" w:pos="9936"/>
        </w:tabs>
      </w:pPr>
      <w:r>
        <w:rPr>
          <w:u w:val="single"/>
        </w:rPr>
        <w:t xml:space="preserve">14. Ways &amp; Means</w:t>
      </w:r>
      <w:r>
        <w:tab/>
      </w:r>
      <w:r>
        <w:rPr>
          <w:u w:val="single"/>
        </w:rPr>
        <w:t xml:space="preserve">25</w:t>
      </w:r>
    </w:p>
    <w:p>
      <w:pPr>
        <w:spacing w:before="120" w:after="0" w:line="240" w:lineRule="exact"/>
        <w:ind w:left="0" w:right="0" w:firstLine="576"/>
        <w:jc w:val="left"/>
      </w:pPr>
      <w:r>
        <w:rPr/>
        <w:t xml:space="preserve">The following constitutes a standing subcommittee of the senate:</w:t>
      </w:r>
    </w:p>
    <w:p>
      <w:pPr>
        <w:spacing w:before="0" w:after="0" w:line="240" w:lineRule="exact"/>
        <w:ind w:left="0" w:right="0" w:firstLine="576"/>
        <w:jc w:val="left"/>
        <w:tabs>
          <w:tab w:val="right" w:leader="dot" w:pos="9936"/>
        </w:tabs>
      </w:pPr>
      <w:r>
        <w:rPr/>
        <w:t xml:space="preserve">1. Behavioral Health Subcommittee to Health &amp; Long-Term Care</w:t>
      </w:r>
      <w:r>
        <w:tab/>
      </w:r>
      <w:r>
        <w:rPr/>
        <w:t xml:space="preserve">5</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1. A standing subcommittee has authority to hold work sessions and public hearings and take executive action on measures referred to it by the relevant standing committee. The committee requirements in Senate Rules 44 through 49 apply equally to standing subcommittees created under Senate Rule 41.</w:t>
      </w:r>
    </w:p>
    <w:p>
      <w:pPr>
        <w:spacing w:before="120" w:after="0" w:line="240" w:lineRule="exact"/>
        <w:ind w:left="0" w:right="0" w:firstLine="576"/>
        <w:jc w:val="left"/>
      </w:pPr>
      <w:r>
        <w:rPr/>
        <w:t xml:space="preserve">2. In addition to standing subcommittees created under Senate Rule 41, committee chairs may create subcommittees of the standing committee and designate subcommittee chairs thereof to study subjects within the jurisdiction of the standing committee. These subcommittees do not have executive action authority and are not considered standing subcommittees for purposes of senate rules.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or within three days of sine die, this rule may be suspended by a majority vote of those present.</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576"/>
        <w:jc w:val="left"/>
      </w:pPr>
      <w:r>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or standing subcommittee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or subcommittee to the senate shall then be referred to the committee on rules for second reading without action on the report unless otherwise ordered by the senate. (See also Senate Rules 63 and 64.) A bill may not be referred to the committee on rules for second reading unless a standing committee or subcommittee has held a public hearing on the bill. </w:t>
      </w:r>
      <w:r>
        <w:rPr>
          <w:u w:val="single"/>
        </w:rPr>
        <w:t xml:space="preserve">By a majority vote of the committee members present at any executive session, the public hearing requirement may be dispensed with when the committee is considering a bill whose companion has already been heard.</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order of consideration of bills on the second or third reading calendar will be set by the floor leader of the majority caucus. A majority of members present may vote to change the order.</w:t>
      </w:r>
    </w:p>
    <w:p>
      <w:pPr>
        <w:spacing w:before="120" w:after="0" w:line="240"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six members, three from the majority party and three from the minority party. The chair shall be appointed by the majority leader. All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p>
    <w:p>
      <w:pPr>
        <w:spacing w:before="120" w:after="0" w:line="240" w:lineRule="exact"/>
        <w:ind w:left="0" w:right="0" w:firstLine="0"/>
        <w:jc w:val="center"/>
      </w:pPr>
      <w:r>
        <w:rPr>
          <w:b/>
        </w:rPr>
        <w:t xml:space="preserve">SECTION VI</w:t>
      </w:r>
    </w:p>
    <w:p>
      <w:pPr>
        <w:spacing w:before="0" w:after="0" w:line="240" w:lineRule="exact"/>
        <w:ind w:left="0" w:right="0" w:firstLine="0"/>
        <w:jc w:val="center"/>
      </w:pPr>
      <w:r>
        <w:rPr>
          <w:b/>
        </w:rPr>
        <w:t xml:space="preserve">BILLS, RESOLUTIONS, MEMORIALS AND GUBERNATORIAL APPOINTMENTS</w:t>
      </w:r>
    </w:p>
    <w:p>
      <w:pPr>
        <w:spacing w:before="0" w:after="0" w:line="240" w:lineRule="exact"/>
        <w:ind w:left="0" w:right="0" w:firstLine="0"/>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Senate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240"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240"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Senate Rules 59 and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Senate Rule 61.</w:t>
      </w:r>
    </w:p>
    <w:p>
      <w:pPr>
        <w:spacing w:before="120" w:after="0" w:line="240" w:lineRule="exact"/>
        <w:ind w:left="0" w:right="0" w:firstLine="576"/>
        <w:jc w:val="left"/>
      </w:pPr>
      <w:r>
        <w:rPr/>
        <w:t xml:space="preserve">Upon being reported back by committee, pursuant to Senate Rule 49, all bills shall be referred to the committee on rules for second reading, unless otherwise ordered by the senate.</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Senate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Senate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Senate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Senate Rule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120" w:after="0" w:line="240" w:lineRule="exact"/>
        <w:ind w:left="0" w:right="0" w:firstLine="0"/>
        <w:jc w:val="center"/>
      </w:pPr>
      <w:r>
        <w:rPr>
          <w:b/>
          <w:u w:val="single"/>
        </w:rPr>
        <w:t xml:space="preserve">Emergency Resolution Authorized</w:t>
      </w:r>
    </w:p>
    <w:p>
      <w:pPr>
        <w:spacing w:before="120" w:after="0" w:line="240" w:lineRule="exact"/>
        <w:ind w:left="0" w:right="0" w:firstLine="576"/>
        <w:jc w:val="left"/>
      </w:pPr>
      <w:r>
        <w:rPr>
          <w:b/>
          <w:u w:val="single"/>
        </w:rPr>
        <w:t xml:space="preserve">Rule 70.</w:t>
      </w:r>
      <w:r>
        <w:rPr>
          <w:u w:val="single"/>
        </w:rPr>
        <w:t xml:space="preserve"> 1. If the Facilities and Operations Committee determines through a majority vote that physically convening all members and staff in a single location presents a danger to the health or safety of the participants or is impractical because of a publicly declared statewide emergency or catastrophic incident under RCW 43.06.010, the senate shall adopt a resolution establishing the rules and procedures governing any special or regular legislative session.</w:t>
      </w:r>
    </w:p>
    <w:p>
      <w:pPr>
        <w:spacing w:before="120" w:after="0" w:line="240" w:lineRule="exact"/>
        <w:ind w:left="0" w:right="0" w:firstLine="576"/>
        <w:jc w:val="left"/>
      </w:pPr>
      <w:r>
        <w:rPr>
          <w:u w:val="single"/>
        </w:rPr>
        <w:t xml:space="preserve">2. For purposes of adopting the senate resolution required by this rule, some or all members may vote using a remote access program established by the Secretary of the Senate. The remote access program must provide a mechanism approved by the President of the Senate by which the President can verify a member's remote presence. Members are considered in attendance within the bar of the senate when using the remote access program, including for purposes of establishing quorum. To the extent practicable, a member participating remotely under this rule has the same privileges, rights, and responsibilities under the Senate Rules as if the member were physically present.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11,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f7d112ea24fcb" /></Relationships>
</file>