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9ad8268e24b89" /></Relationships>
</file>

<file path=word/document.xml><?xml version="1.0" encoding="utf-8"?>
<w:document xmlns:w="http://schemas.openxmlformats.org/wordprocessingml/2006/main">
  <w:body>
    <w:p>
      <w:pPr>
        <w:jc w:val="center"/>
      </w:pPr>
      <w:r>
        <w:t>SENATE RESOLUTION</w:t>
      </w:r>
    </w:p>
    <w:p>
      <w:pPr>
        <w:jc w:val="center"/>
      </w:pPr>
      <w:r>
        <w:t>8631</w:t>
      </w:r>
    </w:p>
    <w:p/>
    <w:p/>
    <w:p>
      <w:r>
        <w:t xml:space="preserve">By </w:t>
      </w:r>
      <w:r>
        <w:t>Senator Pedersen</w:t>
      </w:r>
    </w:p>
    <w:p/>
    <w:p>
      <w:pPr>
        <w:spacing w:before="0" w:after="0" w:line="240" w:lineRule="exact"/>
        <w:ind w:left="0" w:right="0" w:firstLine="576"/>
        <w:jc w:val="left"/>
      </w:pPr>
      <w:r>
        <w:rPr/>
        <w:t xml:space="preserve">WHEREAS, The Senate adopted permanent rules for the 2021-2023 biennium under Senate Resolution 8600;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Senate Rule 41 is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and standing subcommittees on the part of the senate. The appointment of the conference, special, joint and standing committees and standing subcommittees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standing subcommittee, such committee or standing subcommittee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Agriculture, Water, Natural Resources &amp; Park</w:t>
      </w:r>
      <w:r>
        <w:tab/>
      </w:r>
      <w:r>
        <w:rPr/>
        <w:t xml:space="preserve">7</w:t>
      </w:r>
    </w:p>
    <w:p>
      <w:pPr>
        <w:spacing w:before="0" w:after="0" w:line="240" w:lineRule="exact"/>
        <w:ind w:left="0" w:right="0" w:firstLine="576"/>
        <w:jc w:val="left"/>
        <w:tabs>
          <w:tab w:val="right" w:leader="dot" w:pos="9936"/>
        </w:tabs>
      </w:pPr>
      <w:r>
        <w:rPr/>
        <w:t xml:space="preserve">2. Business, Financial Services &amp; Trade</w:t>
      </w:r>
      <w:r>
        <w:tab/>
      </w:r>
      <w:r>
        <w:rPr/>
        <w:t xml:space="preserve">7</w:t>
      </w:r>
    </w:p>
    <w:p>
      <w:pPr>
        <w:spacing w:before="0" w:after="0" w:line="240" w:lineRule="exact"/>
        <w:ind w:left="0" w:right="0" w:firstLine="576"/>
        <w:jc w:val="left"/>
        <w:tabs>
          <w:tab w:val="right" w:leader="dot" w:pos="9936"/>
        </w:tabs>
      </w:pPr>
      <w:r>
        <w:rPr/>
        <w:t xml:space="preserve">3. Early Learning &amp; K-12 Education</w:t>
      </w:r>
      <w:r>
        <w:tab/>
      </w:r>
      <w:r>
        <w:rPr/>
        <w:t xml:space="preserve">9</w:t>
      </w:r>
    </w:p>
    <w:p>
      <w:pPr>
        <w:spacing w:before="0" w:after="0" w:line="240" w:lineRule="exact"/>
        <w:ind w:left="0" w:right="0" w:firstLine="576"/>
        <w:jc w:val="left"/>
        <w:tabs>
          <w:tab w:val="right" w:leader="dot" w:pos="9936"/>
        </w:tabs>
      </w:pPr>
      <w:r>
        <w:rPr/>
        <w:t xml:space="preserve">4. Environment, Energy, &amp; Technology</w:t>
      </w:r>
      <w:r>
        <w:tab/>
      </w:r>
      <w:r>
        <w:rPr/>
        <w:t xml:space="preserve">13</w:t>
      </w:r>
    </w:p>
    <w:p>
      <w:pPr>
        <w:spacing w:before="0" w:after="0" w:line="240" w:lineRule="exact"/>
        <w:ind w:left="0" w:right="0" w:firstLine="576"/>
        <w:jc w:val="left"/>
        <w:tabs>
          <w:tab w:val="right" w:leader="dot" w:pos="9936"/>
        </w:tabs>
      </w:pPr>
      <w:r>
        <w:rPr/>
        <w:t xml:space="preserve">5. Health &amp; Long-Term Care</w:t>
      </w:r>
      <w:r>
        <w:tab/>
      </w:r>
      <w:r>
        <w:rPr/>
        <w:t xml:space="preserve">12</w:t>
      </w:r>
    </w:p>
    <w:p>
      <w:pPr>
        <w:spacing w:before="0" w:after="0" w:line="240" w:lineRule="exact"/>
        <w:ind w:left="0" w:right="0" w:firstLine="576"/>
        <w:jc w:val="left"/>
        <w:tabs>
          <w:tab w:val="right" w:leader="dot" w:pos="9936"/>
        </w:tabs>
      </w:pPr>
      <w:r>
        <w:rPr/>
        <w:t xml:space="preserve">6. Higher Education &amp; Workforce Development</w:t>
      </w:r>
      <w:r>
        <w:tab/>
      </w:r>
      <w:r>
        <w:rPr/>
        <w:t xml:space="preserve">5</w:t>
      </w:r>
    </w:p>
    <w:p>
      <w:pPr>
        <w:spacing w:before="0" w:after="0" w:line="240" w:lineRule="exact"/>
        <w:ind w:left="0" w:right="0" w:firstLine="576"/>
        <w:jc w:val="left"/>
        <w:tabs>
          <w:tab w:val="right" w:leader="dot" w:pos="9936"/>
        </w:tabs>
      </w:pPr>
      <w:r>
        <w:rPr/>
        <w:t xml:space="preserve">7. Housing &amp; Local Government</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8. Human Services, Reentry &amp; Rehabilitation</w:t>
      </w:r>
      <w:r>
        <w:tab/>
      </w:r>
      <w:r>
        <w:rPr/>
        <w:t xml:space="preserve">7</w:t>
      </w:r>
    </w:p>
    <w:p>
      <w:pPr>
        <w:spacing w:before="0" w:after="0" w:line="240" w:lineRule="exact"/>
        <w:ind w:left="0" w:right="0" w:firstLine="576"/>
        <w:jc w:val="left"/>
        <w:tabs>
          <w:tab w:val="right" w:leader="dot" w:pos="9936"/>
        </w:tabs>
      </w:pPr>
      <w:r>
        <w:rPr/>
        <w:t xml:space="preserve">9. Labor, Commerce &amp; Tribal Affairs</w:t>
      </w:r>
      <w:r>
        <w:tab/>
      </w:r>
      <w:r>
        <w:rPr/>
        <w:t xml:space="preserve">9</w:t>
      </w:r>
    </w:p>
    <w:p>
      <w:pPr>
        <w:spacing w:before="0" w:after="0" w:line="240" w:lineRule="exact"/>
        <w:ind w:left="0" w:right="0" w:firstLine="576"/>
        <w:jc w:val="left"/>
        <w:tabs>
          <w:tab w:val="right" w:leader="dot" w:pos="9936"/>
        </w:tabs>
      </w:pPr>
      <w:r>
        <w:rPr/>
        <w:t xml:space="preserve">10. Law &amp; Justice</w:t>
      </w:r>
      <w:r>
        <w:tab/>
      </w:r>
      <w:r>
        <w:rPr/>
        <w:t xml:space="preserve">9</w:t>
      </w:r>
    </w:p>
    <w:p>
      <w:pPr>
        <w:spacing w:before="0" w:after="0" w:line="240" w:lineRule="exact"/>
        <w:ind w:left="0" w:right="0" w:firstLine="576"/>
        <w:jc w:val="left"/>
        <w:tabs>
          <w:tab w:val="right" w:leader="dot" w:pos="9936"/>
        </w:tabs>
      </w:pPr>
      <w:r>
        <w:rPr/>
        <w:t xml:space="preserve">11. Rules</w:t>
      </w:r>
      <w:r>
        <w:tab/>
      </w:r>
      <w:r>
        <w:rPr/>
        <w:t xml:space="preserve">16 (plus the Lieutenant Governor)</w:t>
      </w:r>
    </w:p>
    <w:p>
      <w:pPr>
        <w:spacing w:before="0" w:after="0" w:line="240" w:lineRule="exact"/>
        <w:ind w:left="0" w:right="0" w:firstLine="576"/>
        <w:jc w:val="left"/>
        <w:tabs>
          <w:tab w:val="right" w:leader="dot" w:pos="9936"/>
        </w:tabs>
      </w:pPr>
      <w:r>
        <w:rPr/>
        <w:t xml:space="preserve">12. State Government &amp; Elections</w:t>
      </w:r>
      <w:r>
        <w:tab/>
      </w:r>
      <w:r>
        <w:rPr/>
        <w:t xml:space="preserve">5</w:t>
      </w:r>
    </w:p>
    <w:p>
      <w:pPr>
        <w:spacing w:before="0" w:after="0" w:line="240" w:lineRule="exact"/>
        <w:ind w:left="0" w:right="0" w:firstLine="576"/>
        <w:jc w:val="left"/>
        <w:tabs>
          <w:tab w:val="right" w:leader="dot" w:pos="9936"/>
        </w:tabs>
      </w:pPr>
      <w:r>
        <w:rPr/>
        <w:t xml:space="preserve">13. Transportation</w:t>
      </w:r>
      <w:r>
        <w:tab/>
      </w:r>
      <w:r>
        <w:t>((</w:t>
      </w:r>
      <w:r>
        <w:rPr>
          <w:strike/>
        </w:rPr>
        <w:t xml:space="preserve">15</w:t>
      </w:r>
      <w:r>
        <w:t>))</w:t>
      </w:r>
      <w:r>
        <w:rPr/>
        <w:t xml:space="preserve"> </w:t>
      </w:r>
      <w:r>
        <w:rPr>
          <w:u w:val="single"/>
        </w:rPr>
        <w:t xml:space="preserve">17</w:t>
      </w:r>
    </w:p>
    <w:p>
      <w:pPr>
        <w:spacing w:before="0" w:after="0" w:line="240" w:lineRule="exact"/>
        <w:ind w:left="0" w:right="0" w:firstLine="576"/>
        <w:jc w:val="left"/>
        <w:tabs>
          <w:tab w:val="right" w:leader="dot" w:pos="9936"/>
        </w:tabs>
      </w:pPr>
      <w:r>
        <w:rPr/>
        <w:t xml:space="preserve">14. Ways &amp; Means</w:t>
      </w:r>
      <w:r>
        <w:tab/>
      </w:r>
      <w:r>
        <w:t>((</w:t>
      </w:r>
      <w:r>
        <w:rPr>
          <w:strike/>
        </w:rPr>
        <w:t xml:space="preserve">25</w:t>
      </w:r>
      <w:r>
        <w:t>))</w:t>
      </w:r>
      <w:r>
        <w:rPr/>
        <w:t xml:space="preserve"> </w:t>
      </w:r>
      <w:r>
        <w:rPr>
          <w:u w:val="single"/>
        </w:rPr>
        <w:t xml:space="preserve">24</w:t>
      </w:r>
    </w:p>
    <w:p>
      <w:pPr>
        <w:spacing w:before="120" w:after="0" w:line="240" w:lineRule="exact"/>
        <w:ind w:left="0" w:right="0" w:firstLine="576"/>
        <w:jc w:val="left"/>
      </w:pPr>
      <w:r>
        <w:rPr/>
        <w:t xml:space="preserve">The following constitutes a standing subcommittee of the senate:</w:t>
      </w:r>
    </w:p>
    <w:p>
      <w:pPr>
        <w:spacing w:before="0" w:after="0" w:line="240" w:lineRule="exact"/>
        <w:ind w:left="0" w:right="0" w:firstLine="576"/>
        <w:jc w:val="left"/>
        <w:tabs>
          <w:tab w:val="right" w:leader="dot" w:pos="9936"/>
        </w:tabs>
      </w:pPr>
      <w:r>
        <w:rPr/>
        <w:t xml:space="preserve">1. Behavioral Health Subcommittee to Health &amp; Long-Term Care.</w:t>
      </w:r>
      <w:r>
        <w:tab/>
      </w:r>
      <w:r>
        <w:rPr/>
        <w:t xml:space="preserve">5"</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10,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77cfaaf934357" /></Relationships>
</file>