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13e2c578342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1113</w:t>
      </w:r>
    </w:p>
    <w:p>
      <w:pPr>
        <w:jc w:val="center"/>
        <w:spacing w:before="480" w:after="0" w:line="240"/>
      </w:pPr>
      <w:r>
        <w:t xml:space="preserve">Chapter </w:t>
      </w:r>
      <w:r>
        <w:rPr/>
        <w:t xml:space="preserve">119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 ATTENDANCE—TRUANCY PETITIONS</w:t>
      </w:r>
    </w:p>
    <w:p>
      <w:pPr>
        <w:spacing w:before="720" w:after="240" w:line="240" w:lineRule="exact"/>
        <w:ind w:left="0" w:right="0" w:firstLine="0"/>
        <w:jc w:val="center"/>
      </w:pPr>
      <w:r>
        <w:t xml:space="preserve">EFFECTIVE DATE: </w:t>
      </w:r>
      <w:r>
        <w:rPr/>
        <w:t xml:space="preserve">April 26, 2021</w:t>
      </w:r>
      <w:r>
        <w:rPr>
          <w:rFonts w:ascii="Times New Roman" w:hAnsi="Times New Roman"/>
        </w:rPr>
        <w:t xml:space="preserve">—</w:t>
      </w:r>
      <w:r>
        <w:rPr/>
        <w:t xml:space="preserve">Except for sections 7 through 15, which become effective August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77</w:t>
            </w:r>
            <w:r>
              <w:t xml:space="preserve">  Nays </w:t>
              <w:t xml:space="preserve">20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1113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Kloba, and Pollet; by request of Superintendent of Public Instruction)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attendance; amending RCW 28A.225.015, 28A.225.030, 28A.225.151, 28A.225.030, 28A.225.151, 28A.225.020, 28A.225.025, 28A.225.026, 28A.225.0261, 28A.225.027, 28A.225.035, and 28A.225.090; adding new sections to chapter 28A.225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student absences from school can be an indicator that the academic and social-emotional needs of the students are not being met in the public school or classroom or through the school culture or climate. Student absences can also signal to educators that families may need additional information and assistance in supporting student learning within the home.</w:t>
      </w:r>
    </w:p>
    <w:p>
      <w:pPr>
        <w:spacing w:before="0" w:after="0" w:line="408" w:lineRule="exact"/>
        <w:ind w:left="0" w:right="0" w:firstLine="576"/>
        <w:jc w:val="left"/>
      </w:pPr>
      <w:r>
        <w:rPr/>
        <w:t xml:space="preserve">(2) The legislature finds that as research and public awareness grows about the impact of school climate and culture on the academic and social-emotional experiences of students, the systems of public education must shift away from enforcing punitive, compliance-focused policies and toward enabling constructive, student-centered practices. The legislature further finds that a student-centered system of public education serves the individual needs of students with strong family engagement and through integrated supports provided by the state, public schools, and the greater community.</w:t>
      </w:r>
    </w:p>
    <w:p>
      <w:pPr>
        <w:spacing w:before="0" w:after="0" w:line="408" w:lineRule="exact"/>
        <w:ind w:left="0" w:right="0" w:firstLine="576"/>
        <w:jc w:val="left"/>
      </w:pPr>
      <w:r>
        <w:rPr/>
        <w:t xml:space="preserve">(3) Therefore, the legislature intends to refocus the attendance policies and practices of the public education system to emphasize individualized student and family supports that are culturally responsive, evidence-informed, and show promising practice for integrating multiple systems of support to effectively improve consistent student attendance at school and family engagement in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develop and publish best practice guidance to eliminate or reduce student absences and to otherwise implement the requirements of this chapter. The guidance must focus on student and family engagement, be based in restorative justice practices, and emphasize integration of student and family support systems. The guidance must be developed in consultation with the educational opportunity gap oversight and accountability committee and updated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2017 c 291 s 1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w:t>
      </w:r>
      <w:r>
        <w:rPr>
          <w:u w:val="single"/>
        </w:rPr>
        <w:t xml:space="preserve">is</w:t>
      </w:r>
      <w:r>
        <w:rPr/>
        <w:t xml:space="preserve"> required to attend public school under subsection (1) of this section </w:t>
      </w:r>
      <w:r>
        <w:t>((</w:t>
      </w:r>
      <w:r>
        <w:rPr>
          <w:strike/>
        </w:rPr>
        <w:t xml:space="preserve">has seven unexcused absences in a month or ten</w:t>
      </w:r>
      <w:r>
        <w:t>))</w:t>
      </w:r>
      <w:r>
        <w:rPr>
          <w:u w:val="single"/>
        </w:rPr>
        <w:t xml:space="preserve">, after the child's seventh unexcused absence within any month during the current school year and not later than the 15th</w:t>
      </w:r>
      <w:r>
        <w:rPr/>
        <w:t xml:space="preserve"> unexcused absence</w:t>
      </w:r>
      <w:r>
        <w:t>((</w:t>
      </w:r>
      <w:r>
        <w:rPr>
          <w:strike/>
        </w:rPr>
        <w:t xml:space="preserve">s in a</w:t>
      </w:r>
      <w:r>
        <w:t>))</w:t>
      </w:r>
      <w:r>
        <w:rPr/>
        <w:t xml:space="preserve"> </w:t>
      </w:r>
      <w:r>
        <w:rPr>
          <w:u w:val="single"/>
        </w:rPr>
        <w:t xml:space="preserve">during the current</w:t>
      </w:r>
      <w:r>
        <w:rPr/>
        <w:t xml:space="preserve">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w:t>
      </w:r>
      <w:r>
        <w:t>))</w:t>
      </w:r>
      <w:r>
        <w:rPr/>
        <w:t xml:space="preserve"> </w:t>
      </w:r>
      <w:r>
        <w:rPr>
          <w:u w:val="single"/>
        </w:rPr>
        <w:t xml:space="preserve">after the child's</w:t>
      </w:r>
      <w:r>
        <w:rPr/>
        <w:t xml:space="preserve"> seventh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truancy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 seventh</w:t>
      </w:r>
      <w:r>
        <w:t>))</w:t>
      </w:r>
      <w:r>
        <w:rPr/>
        <w:t xml:space="preserve"> </w:t>
      </w:r>
      <w:r>
        <w:rPr>
          <w:u w:val="single"/>
        </w:rPr>
        <w:t xml:space="preserve">after the child's seventh</w:t>
      </w:r>
      <w:r>
        <w:rPr/>
        <w:t xml:space="preserve">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w:t>
      </w:r>
      <w:r>
        <w:t>((</w:t>
      </w:r>
      <w:r>
        <w:rPr>
          <w:strike/>
        </w:rPr>
        <w:t xml:space="preserve">truancy</w:t>
      </w:r>
      <w:r>
        <w:t>))</w:t>
      </w:r>
      <w:r>
        <w:rPr/>
        <w:t xml:space="preserve"> </w:t>
      </w:r>
      <w:r>
        <w:rPr>
          <w:u w:val="single"/>
        </w:rPr>
        <w:t xml:space="preserve">engagement</w:t>
      </w:r>
      <w:r>
        <w:rPr/>
        <w:t xml:space="preserve"> board as defined in RCW 28A.225.025. The community </w:t>
      </w:r>
      <w:r>
        <w:t>((</w:t>
      </w:r>
      <w:r>
        <w:rPr>
          <w:strike/>
        </w:rPr>
        <w:t xml:space="preserve">truancy</w:t>
      </w:r>
      <w:r>
        <w:t>))</w:t>
      </w:r>
      <w:r>
        <w:rPr/>
        <w:t xml:space="preserve"> </w:t>
      </w:r>
      <w:r>
        <w:rPr>
          <w:u w:val="single"/>
        </w:rPr>
        <w:t xml:space="preserve">engagement</w:t>
      </w:r>
      <w:r>
        <w:rPr/>
        <w:t xml:space="preserve">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w:t>
      </w:r>
      <w:r>
        <w:t>((</w:t>
      </w:r>
      <w:r>
        <w:rPr>
          <w:strike/>
        </w:rPr>
        <w:t xml:space="preserve">fifth</w:t>
      </w:r>
      <w:r>
        <w:t>))</w:t>
      </w:r>
      <w:r>
        <w:rPr/>
        <w:t xml:space="preserve"> </w:t>
      </w:r>
      <w:r>
        <w:rPr>
          <w:u w:val="single"/>
        </w:rPr>
        <w:t xml:space="preserve">seventh</w:t>
      </w:r>
      <w:r>
        <w:rPr/>
        <w:t xml:space="preserve">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w:t>
      </w:r>
      <w:r>
        <w:t>((</w:t>
      </w:r>
      <w:r>
        <w:rPr>
          <w:strike/>
        </w:rPr>
        <w:t xml:space="preserve">truancy</w:t>
      </w:r>
      <w:r>
        <w:t>))</w:t>
      </w:r>
      <w:r>
        <w:rPr/>
        <w:t xml:space="preserve"> </w:t>
      </w:r>
      <w:r>
        <w:rPr>
          <w:u w:val="single"/>
        </w:rPr>
        <w:t xml:space="preserve">engagement</w:t>
      </w:r>
      <w:r>
        <w:rPr/>
        <w:t xml:space="preserve">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2017 c 291 s 3 are each amended to read as follows:</w:t>
      </w:r>
    </w:p>
    <w:p>
      <w:pPr>
        <w:spacing w:before="0" w:after="0" w:line="408" w:lineRule="exact"/>
        <w:ind w:left="0" w:right="0" w:firstLine="576"/>
        <w:jc w:val="left"/>
      </w:pPr>
      <w:r>
        <w:rPr/>
        <w:t xml:space="preserve">(1) For purposes of this chapter, "community </w:t>
      </w:r>
      <w:r>
        <w:t>((</w:t>
      </w:r>
      <w:r>
        <w:rPr>
          <w:strike/>
        </w:rPr>
        <w:t xml:space="preserve">truancy</w:t>
      </w:r>
      <w:r>
        <w:t>))</w:t>
      </w:r>
      <w:r>
        <w:rPr/>
        <w:t xml:space="preserve"> </w:t>
      </w:r>
      <w:r>
        <w:rPr>
          <w:u w:val="single"/>
        </w:rPr>
        <w:t xml:space="preserve">engagement</w:t>
      </w:r>
      <w:r>
        <w:rPr/>
        <w:t xml:space="preserve"> board" means a board established pursuant to a memorandum of understanding between a juvenile court and a school district and composed of members of the local community in which the child attends school. Community </w:t>
      </w:r>
      <w:r>
        <w:t>((</w:t>
      </w:r>
      <w:r>
        <w:rPr>
          <w:strike/>
        </w:rPr>
        <w:t xml:space="preserve">truancy</w:t>
      </w:r>
      <w:r>
        <w:t>))</w:t>
      </w:r>
      <w:r>
        <w:rPr/>
        <w:t xml:space="preserve"> </w:t>
      </w:r>
      <w:r>
        <w:rPr>
          <w:u w:val="single"/>
        </w:rPr>
        <w:t xml:space="preserve">engagement</w:t>
      </w:r>
      <w:r>
        <w:rPr/>
        <w:t xml:space="preserve">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w:t>
      </w:r>
      <w:r>
        <w:t>((</w:t>
      </w:r>
      <w:r>
        <w:rPr>
          <w:strike/>
        </w:rPr>
        <w:t xml:space="preserve">truancy</w:t>
      </w:r>
      <w:r>
        <w:t>))</w:t>
      </w:r>
      <w:r>
        <w:rPr/>
        <w:t xml:space="preserve"> </w:t>
      </w:r>
      <w:r>
        <w:rPr>
          <w:u w:val="single"/>
        </w:rPr>
        <w:t xml:space="preserve">engagement</w:t>
      </w:r>
      <w:r>
        <w:rPr/>
        <w:t xml:space="preserve">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w:t>
      </w:r>
      <w:r>
        <w:t>((</w:t>
      </w:r>
      <w:r>
        <w:rPr>
          <w:strike/>
        </w:rPr>
        <w:t xml:space="preserve">truancy</w:t>
      </w:r>
      <w:r>
        <w:t>))</w:t>
      </w:r>
      <w:r>
        <w:rPr/>
        <w:t xml:space="preserve"> </w:t>
      </w:r>
      <w:r>
        <w:rPr>
          <w:u w:val="single"/>
        </w:rPr>
        <w:t xml:space="preserve">engagement</w:t>
      </w:r>
      <w:r>
        <w:rPr/>
        <w:t xml:space="preserve">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w:t>
      </w:r>
      <w:r>
        <w:t>((</w:t>
      </w:r>
      <w:r>
        <w:rPr>
          <w:strike/>
        </w:rPr>
        <w:t xml:space="preserve">truancy</w:t>
      </w:r>
      <w:r>
        <w:t>))</w:t>
      </w:r>
      <w:r>
        <w:rPr/>
        <w:t xml:space="preserve"> </w:t>
      </w:r>
      <w:r>
        <w:rPr>
          <w:u w:val="single"/>
        </w:rPr>
        <w:t xml:space="preserve">engagement</w:t>
      </w:r>
      <w:r>
        <w:rPr/>
        <w:t xml:space="preserve">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w:t>
      </w:r>
      <w:r>
        <w:t>((</w:t>
      </w:r>
      <w:r>
        <w:rPr>
          <w:strike/>
        </w:rPr>
        <w:t xml:space="preserve">truancy</w:t>
      </w:r>
      <w:r>
        <w:t>))</w:t>
      </w:r>
      <w:r>
        <w:rPr/>
        <w:t xml:space="preserve"> </w:t>
      </w:r>
      <w:r>
        <w:rPr>
          <w:u w:val="single"/>
        </w:rPr>
        <w:t xml:space="preserve">engagement</w:t>
      </w:r>
      <w:r>
        <w:rPr/>
        <w:t xml:space="preserve">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w:t>
      </w:r>
      <w:r>
        <w:t>((</w:t>
      </w:r>
      <w:r>
        <w:rPr>
          <w:strike/>
        </w:rPr>
        <w:t xml:space="preserve">truancy</w:t>
      </w:r>
      <w:r>
        <w:t>))</w:t>
      </w:r>
      <w:r>
        <w:rPr/>
        <w:t xml:space="preserve"> </w:t>
      </w:r>
      <w:r>
        <w:rPr>
          <w:u w:val="single"/>
        </w:rPr>
        <w:t xml:space="preserve">engagement</w:t>
      </w:r>
      <w:r>
        <w:rPr/>
        <w:t xml:space="preserve"> board. A community </w:t>
      </w:r>
      <w:r>
        <w:t>((</w:t>
      </w:r>
      <w:r>
        <w:rPr>
          <w:strike/>
        </w:rPr>
        <w:t xml:space="preserve">truancy</w:t>
      </w:r>
      <w:r>
        <w:t>))</w:t>
      </w:r>
      <w:r>
        <w:rPr/>
        <w:t xml:space="preserve"> </w:t>
      </w:r>
      <w:r>
        <w:rPr>
          <w:u w:val="single"/>
        </w:rPr>
        <w:t xml:space="preserve">engagement</w:t>
      </w:r>
      <w:r>
        <w:rPr/>
        <w:t xml:space="preserve">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three hundred students must enter into a memorandum of understanding with the juvenile court in the county in which it is located with respect to: (a) The operation of a community </w:t>
      </w:r>
      <w:r>
        <w:t>((</w:t>
      </w:r>
      <w:r>
        <w:rPr>
          <w:strike/>
        </w:rPr>
        <w:t xml:space="preserve">truancy</w:t>
      </w:r>
      <w:r>
        <w:t>))</w:t>
      </w:r>
      <w:r>
        <w:rPr/>
        <w:t xml:space="preserve"> </w:t>
      </w:r>
      <w:r>
        <w:rPr>
          <w:u w:val="single"/>
        </w:rPr>
        <w:t xml:space="preserve">engagement</w:t>
      </w:r>
      <w:r>
        <w:rPr/>
        <w:t xml:space="preserve">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School districts with fewer than three hundred students may work cooperatively with other school districts or the school district's educational service district to ensure access to a community </w:t>
      </w:r>
      <w:r>
        <w:t>((</w:t>
      </w:r>
      <w:r>
        <w:rPr>
          <w:strike/>
        </w:rPr>
        <w:t xml:space="preserve">truancy</w:t>
      </w:r>
      <w:r>
        <w:t>))</w:t>
      </w:r>
      <w:r>
        <w:rPr/>
        <w:t xml:space="preserve"> </w:t>
      </w:r>
      <w:r>
        <w:rPr>
          <w:u w:val="single"/>
        </w:rPr>
        <w:t xml:space="preserve">engagement</w:t>
      </w:r>
      <w:r>
        <w:rPr/>
        <w:t xml:space="preserve">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w:t>
      </w:r>
      <w:r>
        <w:t>((</w:t>
      </w:r>
      <w:r>
        <w:rPr>
          <w:strike/>
        </w:rPr>
        <w:t xml:space="preserve">truancy</w:t>
      </w:r>
      <w:r>
        <w:t>))</w:t>
      </w:r>
      <w:r>
        <w:rPr/>
        <w:t xml:space="preserve"> </w:t>
      </w:r>
      <w:r>
        <w:rPr>
          <w:u w:val="single"/>
        </w:rPr>
        <w:t xml:space="preserve">engagement</w:t>
      </w:r>
      <w:r>
        <w:rPr/>
        <w:t xml:space="preserve">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w:t>
      </w:r>
      <w:r>
        <w:t>((</w:t>
      </w:r>
      <w:r>
        <w:rPr>
          <w:strike/>
        </w:rPr>
        <w:t xml:space="preserve">truancy</w:t>
      </w:r>
      <w:r>
        <w:t>))</w:t>
      </w:r>
      <w:r>
        <w:rPr/>
        <w:t xml:space="preserve"> </w:t>
      </w:r>
      <w:r>
        <w:rPr>
          <w:u w:val="single"/>
        </w:rPr>
        <w:t xml:space="preserve">engagement</w:t>
      </w:r>
      <w:r>
        <w:rPr/>
        <w:t xml:space="preserve">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0261</w:t>
      </w:r>
      <w:r>
        <w:rPr/>
        <w:t xml:space="preserve"> and 2016 c 205 s 17 are each amended to read as follows:</w:t>
      </w:r>
    </w:p>
    <w:p>
      <w:pPr>
        <w:spacing w:before="0" w:after="0" w:line="408" w:lineRule="exact"/>
        <w:ind w:left="0" w:right="0" w:firstLine="576"/>
        <w:jc w:val="left"/>
      </w:pPr>
      <w:r>
        <w:rPr/>
        <w:t xml:space="preserve">(1) By requiring an initial stay of truancy petitions for diversion to community </w:t>
      </w:r>
      <w:r>
        <w:t>((</w:t>
      </w:r>
      <w:r>
        <w:rPr>
          <w:strike/>
        </w:rPr>
        <w:t xml:space="preserve">truancy</w:t>
      </w:r>
      <w:r>
        <w:t>))</w:t>
      </w:r>
      <w:r>
        <w:rPr/>
        <w:t xml:space="preserve"> </w:t>
      </w:r>
      <w:r>
        <w:rPr>
          <w:u w:val="single"/>
        </w:rPr>
        <w:t xml:space="preserve">engagement</w:t>
      </w:r>
      <w:r>
        <w:rPr/>
        <w:t xml:space="preserve"> boards, the legislature intends to achieve the following outcomes:</w:t>
      </w:r>
    </w:p>
    <w:p>
      <w:pPr>
        <w:spacing w:before="0" w:after="0" w:line="408" w:lineRule="exact"/>
        <w:ind w:left="0" w:right="0" w:firstLine="576"/>
        <w:jc w:val="left"/>
      </w:pPr>
      <w:r>
        <w:rPr/>
        <w:t xml:space="preserve">(a) Increased access to community </w:t>
      </w:r>
      <w:r>
        <w:t>((</w:t>
      </w:r>
      <w:r>
        <w:rPr>
          <w:strike/>
        </w:rPr>
        <w:t xml:space="preserve">truancy</w:t>
      </w:r>
      <w:r>
        <w:t>))</w:t>
      </w:r>
      <w:r>
        <w:rPr/>
        <w:t xml:space="preserve"> </w:t>
      </w:r>
      <w:r>
        <w:rPr>
          <w:u w:val="single"/>
        </w:rPr>
        <w:t xml:space="preserve">engagement</w:t>
      </w:r>
      <w:r>
        <w:rPr/>
        <w:t xml:space="preserve">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205, Laws of 2016. An initial report scoping of the methodology to be used to review chapter 205, Laws of 2016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w:t>
      </w:r>
      <w:r>
        <w:t>((</w:t>
      </w:r>
      <w:r>
        <w:rPr>
          <w:strike/>
        </w:rPr>
        <w:t xml:space="preserve">truancy</w:t>
      </w:r>
      <w:r>
        <w:t>))</w:t>
      </w:r>
      <w:r>
        <w:rPr/>
        <w:t xml:space="preserve"> </w:t>
      </w:r>
      <w:r>
        <w:rPr>
          <w:u w:val="single"/>
        </w:rPr>
        <w:t xml:space="preserve">engagement</w:t>
      </w:r>
      <w:r>
        <w:rPr/>
        <w:t xml:space="preserve">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w:t>
      </w:r>
      <w:r>
        <w:t>((</w:t>
      </w:r>
      <w:r>
        <w:rPr>
          <w:strike/>
        </w:rPr>
        <w:t xml:space="preserve">truancy</w:t>
      </w:r>
      <w:r>
        <w:t>))</w:t>
      </w:r>
      <w:r>
        <w:rPr/>
        <w:t xml:space="preserve"> </w:t>
      </w:r>
      <w:r>
        <w:rPr>
          <w:u w:val="single"/>
        </w:rPr>
        <w:t xml:space="preserve">engagement</w:t>
      </w:r>
      <w:r>
        <w:rPr/>
        <w:t xml:space="preserve">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w:t>
      </w:r>
      <w:r>
        <w:t>((</w:t>
      </w:r>
      <w:r>
        <w:rPr>
          <w:strike/>
        </w:rPr>
        <w:t xml:space="preserve">truancy</w:t>
      </w:r>
      <w:r>
        <w:t>))</w:t>
      </w:r>
      <w:r>
        <w:rPr/>
        <w:t xml:space="preserve"> </w:t>
      </w:r>
      <w:r>
        <w:rPr>
          <w:u w:val="single"/>
        </w:rPr>
        <w:t xml:space="preserve">engagement</w:t>
      </w:r>
      <w:r>
        <w:rPr/>
        <w:t xml:space="preserve">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2016 c 205 s 8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or 28A.225.015, it shall initially be stayed by the juvenile court, and the child and the child's parent must be referred to a community </w:t>
      </w:r>
      <w:r>
        <w:t>((</w:t>
      </w:r>
      <w:r>
        <w:rPr>
          <w:strike/>
        </w:rPr>
        <w:t xml:space="preserve">truancy</w:t>
      </w:r>
      <w:r>
        <w:t>))</w:t>
      </w:r>
      <w:r>
        <w:rPr/>
        <w:t xml:space="preserve"> </w:t>
      </w:r>
      <w:r>
        <w:rPr>
          <w:u w:val="single"/>
        </w:rPr>
        <w:t xml:space="preserve">engagement</w:t>
      </w:r>
      <w:r>
        <w:rPr/>
        <w:t xml:space="preserve"> board or other coordinated means of intervention as set forth in the memorandum of understanding under RCW 28A.225.026. The community </w:t>
      </w:r>
      <w:r>
        <w:t>((</w:t>
      </w:r>
      <w:r>
        <w:rPr>
          <w:strike/>
        </w:rPr>
        <w:t xml:space="preserve">truancy</w:t>
      </w:r>
      <w:r>
        <w:t>))</w:t>
      </w:r>
      <w:r>
        <w:rPr/>
        <w:t xml:space="preserve"> </w:t>
      </w:r>
      <w:r>
        <w:rPr>
          <w:u w:val="single"/>
        </w:rPr>
        <w:t xml:space="preserve">engagement</w:t>
      </w:r>
      <w:r>
        <w:rPr/>
        <w:t xml:space="preserve">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w:t>
      </w:r>
      <w:r>
        <w:t>((</w:t>
      </w:r>
      <w:r>
        <w:rPr>
          <w:strike/>
        </w:rPr>
        <w:t xml:space="preserve">truancy</w:t>
      </w:r>
      <w:r>
        <w:t>))</w:t>
      </w:r>
      <w:r>
        <w:rPr/>
        <w:t xml:space="preserve"> </w:t>
      </w:r>
      <w:r>
        <w:rPr>
          <w:u w:val="single"/>
        </w:rPr>
        <w:t xml:space="preserve">engagement</w:t>
      </w:r>
      <w:r>
        <w:rPr/>
        <w:t xml:space="preserve">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w:t>
      </w:r>
      <w:r>
        <w:t>((</w:t>
      </w:r>
      <w:r>
        <w:rPr>
          <w:strike/>
        </w:rPr>
        <w:t xml:space="preserve">truancy</w:t>
      </w:r>
      <w:r>
        <w:t>))</w:t>
      </w:r>
      <w:r>
        <w:rPr/>
        <w:t xml:space="preserve"> </w:t>
      </w:r>
      <w:r>
        <w:rPr>
          <w:u w:val="single"/>
        </w:rPr>
        <w:t xml:space="preserve">engagement</w:t>
      </w:r>
      <w:r>
        <w:rPr/>
        <w:t xml:space="preserve"> board, the </w:t>
      </w:r>
      <w:r>
        <w:t>((</w:t>
      </w:r>
      <w:r>
        <w:rPr>
          <w:strike/>
        </w:rPr>
        <w:t xml:space="preserve">truancy</w:t>
      </w:r>
      <w:r>
        <w:t>))</w:t>
      </w:r>
      <w:r>
        <w:rPr/>
        <w:t xml:space="preserve"> </w:t>
      </w:r>
      <w:r>
        <w:rPr>
          <w:u w:val="single"/>
        </w:rPr>
        <w:t xml:space="preserve">community engagement</w:t>
      </w:r>
      <w:r>
        <w:rPr/>
        <w:t xml:space="preserve">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w:t>
      </w:r>
      <w:r>
        <w:t>((</w:t>
      </w:r>
      <w:r>
        <w:rPr>
          <w:strike/>
        </w:rPr>
        <w:t xml:space="preserve">truancy</w:t>
      </w:r>
      <w:r>
        <w:t>))</w:t>
      </w:r>
      <w:r>
        <w:rPr/>
        <w:t xml:space="preserve"> </w:t>
      </w:r>
      <w:r>
        <w:rPr>
          <w:u w:val="single"/>
        </w:rPr>
        <w:t xml:space="preserve">community engagement</w:t>
      </w:r>
      <w:r>
        <w:rPr/>
        <w:t xml:space="preserve"> board, the school district, and the child's parent. The court may permit the </w:t>
      </w:r>
      <w:r>
        <w:t>((</w:t>
      </w:r>
      <w:r>
        <w:rPr>
          <w:strike/>
        </w:rPr>
        <w:t xml:space="preserve">truancy</w:t>
      </w:r>
      <w:r>
        <w:t>))</w:t>
      </w:r>
      <w:r>
        <w:rPr/>
        <w:t xml:space="preserve"> </w:t>
      </w:r>
      <w:r>
        <w:rPr>
          <w:u w:val="single"/>
        </w:rPr>
        <w:t xml:space="preserve">community engagement</w:t>
      </w:r>
      <w:r>
        <w:rPr/>
        <w:t xml:space="preserve">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community </w:t>
      </w:r>
      <w:r>
        <w:t>((</w:t>
      </w:r>
      <w:r>
        <w:rPr>
          <w:strike/>
        </w:rPr>
        <w:t xml:space="preserve">truancy</w:t>
      </w:r>
      <w:r>
        <w:t>))</w:t>
      </w:r>
      <w:r>
        <w:rPr/>
        <w:t xml:space="preserve"> </w:t>
      </w:r>
      <w:r>
        <w:rPr>
          <w:u w:val="single"/>
        </w:rPr>
        <w:t xml:space="preserve">engagement</w:t>
      </w:r>
      <w:r>
        <w:rPr/>
        <w:t xml:space="preserve"> board fails to reach an agreement, or the parent or student does not comply with the agreement within the timeline for completion set by the community </w:t>
      </w:r>
      <w:r>
        <w:t>((</w:t>
      </w:r>
      <w:r>
        <w:rPr>
          <w:strike/>
        </w:rPr>
        <w:t xml:space="preserve">truancy</w:t>
      </w:r>
      <w:r>
        <w:t>))</w:t>
      </w:r>
      <w:r>
        <w:rPr/>
        <w:t xml:space="preserve"> </w:t>
      </w:r>
      <w:r>
        <w:rPr>
          <w:u w:val="single"/>
        </w:rPr>
        <w:t xml:space="preserve">engagement</w:t>
      </w:r>
      <w:r>
        <w:rPr/>
        <w:t xml:space="preserve"> board, the community </w:t>
      </w:r>
      <w:r>
        <w:t>((</w:t>
      </w:r>
      <w:r>
        <w:rPr>
          <w:strike/>
        </w:rPr>
        <w:t xml:space="preserve">truancy</w:t>
      </w:r>
      <w:r>
        <w:t>))</w:t>
      </w:r>
      <w:r>
        <w:rPr/>
        <w:t xml:space="preserve"> </w:t>
      </w:r>
      <w:r>
        <w:rPr>
          <w:u w:val="single"/>
        </w:rPr>
        <w:t xml:space="preserve">engagement</w:t>
      </w:r>
      <w:r>
        <w:rPr/>
        <w:t xml:space="preserve">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w:t>
      </w:r>
      <w:r>
        <w:t>((</w:t>
      </w:r>
      <w:r>
        <w:rPr>
          <w:strike/>
        </w:rPr>
        <w:t xml:space="preserve">truancy</w:t>
      </w:r>
      <w:r>
        <w:t>))</w:t>
      </w:r>
      <w:r>
        <w:rPr/>
        <w:t xml:space="preserve"> </w:t>
      </w:r>
      <w:r>
        <w:rPr>
          <w:u w:val="single"/>
        </w:rPr>
        <w:t xml:space="preserve">engagement</w:t>
      </w:r>
      <w:r>
        <w:rPr/>
        <w:t xml:space="preserve">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w:t>
      </w:r>
      <w:r>
        <w:t>((</w:t>
      </w:r>
      <w:r>
        <w:rPr>
          <w:strike/>
        </w:rPr>
        <w:t xml:space="preserve">truancy</w:t>
      </w:r>
      <w:r>
        <w:t>))</w:t>
      </w:r>
      <w:r>
        <w:rPr/>
        <w:t xml:space="preserve"> </w:t>
      </w:r>
      <w:r>
        <w:rPr>
          <w:u w:val="single"/>
        </w:rPr>
        <w:t xml:space="preserve">engagement</w:t>
      </w:r>
      <w:r>
        <w:rPr/>
        <w:t xml:space="preserve">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w:t>
      </w:r>
      <w:r>
        <w:t>((</w:t>
      </w:r>
      <w:r>
        <w:rPr>
          <w:strike/>
        </w:rPr>
        <w:t xml:space="preserve">truancy</w:t>
      </w:r>
      <w:r>
        <w:t>))</w:t>
      </w:r>
      <w:r>
        <w:rPr/>
        <w:t xml:space="preserve"> </w:t>
      </w:r>
      <w:r>
        <w:rPr>
          <w:u w:val="single"/>
        </w:rPr>
        <w:t xml:space="preserve">community engagement</w:t>
      </w:r>
      <w:r>
        <w:rPr/>
        <w:t xml:space="preserve">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15 of this act take effect August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6e65416b6fb74b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8f34c5cf8452d" /><Relationship Type="http://schemas.openxmlformats.org/officeDocument/2006/relationships/footer" Target="/word/footer1.xml" Id="R6e65416b6fb74b96" /></Relationships>
</file>