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8b083d1ae40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1137</w:t>
      </w:r>
    </w:p>
    <w:p>
      <w:pPr>
        <w:jc w:val="center"/>
        <w:spacing w:before="480" w:after="0" w:line="240"/>
      </w:pPr>
      <w:r>
        <w:t xml:space="preserve">Chapter </w:t>
      </w:r>
      <w:r>
        <w:rPr/>
        <w:t xml:space="preserve">153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TRANSPORTATION SYSTEM POLICY GOALS—PRIORITIES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84</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McCaslin, Young, Barkis, Schmick, and Graham)</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and amending RCW 47.04.280.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r>
        <w:rPr>
          <w:u w:val="single"/>
        </w:rPr>
        <w:t xml:space="preserve">, including the state ferry system</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priorities</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31617deafee247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35fa0734d40cc" /><Relationship Type="http://schemas.openxmlformats.org/officeDocument/2006/relationships/footer" Target="/word/footer1.xml" Id="R31617deafee24712" /></Relationships>
</file>