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d3116d1974c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1189</w:t>
      </w:r>
    </w:p>
    <w:p>
      <w:pPr>
        <w:jc w:val="center"/>
        <w:spacing w:before="480" w:after="0" w:line="240"/>
      </w:pPr>
      <w:r>
        <w:t xml:space="preserve">Chapter </w:t>
      </w:r>
      <w:r>
        <w:rPr/>
        <w:t xml:space="preserve">207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TAX INCREMENT FINANCING</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2021</w:t>
            </w:r>
          </w:p>
          <w:p>
            <w:pPr>
              <w:ind w:left="0" w:right="0" w:firstLine="360"/>
            </w:pPr>
            <w:r>
              <w:t xml:space="preserve">Yeas </w:t>
              <w:t xml:space="preserve">68</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45</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Duerr, Boehnke, Bateman, Sullivan, Fitzgibbon, Walen, Ramel, Springer, Wicks, Slatter, Pollet, Callan,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increment financing; amending RCW 84.55.010 and 84.55.120;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(9) "Tax allocation base value" means the assessed value of real property located within an increment area for taxes imposed in the year in which the increment area is first designated.</w:t>
      </w:r>
    </w:p>
    <w:p>
      <w:pPr>
        <w:spacing w:before="0" w:after="0" w:line="408" w:lineRule="exact"/>
        <w:ind w:left="0" w:right="0" w:firstLine="576"/>
        <w:jc w:val="left"/>
      </w:pPr>
      <w:r>
        <w:rPr/>
        <w:t xml:space="preserve">(10) "Tax allocation revenues" means those revenues derived from the imposition of regular property taxes on the increment value.</w:t>
      </w:r>
    </w:p>
    <w:p>
      <w:pPr>
        <w:spacing w:before="0" w:after="0" w:line="408" w:lineRule="exact"/>
        <w:ind w:left="0" w:right="0" w:firstLine="576"/>
        <w:jc w:val="left"/>
      </w:pPr>
      <w:r>
        <w:rPr/>
        <w:t xml:space="preserve">(11)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t xml:space="preserve">(6) The local government may reimburse the assessor and treasurer for their costs as provided in section 1(6)(e) of this act.</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under this chapter may be undertaken and coordinated with other programs or efforts undertaken by the local government and other taxing districts and may be funded in part from revenue sources other than tax allocation revenues.</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section 2(1)(e) of this act.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an increment area may incur general indebtedness, and issue general obligation bonds or notes to finance the public improvements and retire the indebtedness, in whole or in part, from tax allocation revenues it receives.</w:t>
      </w:r>
    </w:p>
    <w:p>
      <w:pPr>
        <w:spacing w:before="0" w:after="0" w:line="408" w:lineRule="exact"/>
        <w:ind w:left="0" w:right="0" w:firstLine="576"/>
        <w:jc w:val="left"/>
      </w:pPr>
      <w:r>
        <w:rPr/>
        <w:t xml:space="preserve">(2) The general indebtedness incurred under subsection (1) of this section may be payable from tax allocation revenues and any other sources available to the local government for payment of the public improvement costs, including without limitation: Other tax revenues; the full faith and credit of the local government; nontax income, revenues, fees, and rents from the public improvements; and contributions, grants, and nontax resources.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the designation of the increment area or the allocation of regular property tax revenues in conformance with applicable legal requirements, including this chapter, may not be commenced more than 30 days after adoption of the ordinance as required by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25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0" w:after="0" w:line="408" w:lineRule="exact"/>
        <w:ind w:left="0" w:right="0" w:firstLine="576"/>
        <w:jc w:val="left"/>
      </w:pPr>
      <w:r>
        <w:rPr/>
        <w:t xml:space="preserve">(5) The authority to issue revenue bonds under this section is supplementary and in addition to any authority otherwise existing. Nothing in this section limits a local government in the issuance of revenue bonds that are otherwise authorized by law for the construction of additions, betterments, or extensions of utilities within the increment area.</w:t>
      </w:r>
    </w:p>
    <w:p>
      <w:pPr>
        <w:spacing w:before="0" w:after="0" w:line="408" w:lineRule="exact"/>
        <w:ind w:left="0" w:right="0" w:firstLine="576"/>
        <w:jc w:val="left"/>
      </w:pPr>
      <w:r>
        <w:rPr/>
        <w:t xml:space="preserve">(6) Notwithstanding anything to the contrary in this section, revenue bonds issued to finance public improvements may be issued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w:t>
      </w:r>
      <w:r>
        <w:rPr>
          <w:u w:val="single"/>
        </w:rPr>
        <w:t xml:space="preserve">, excluding any increase due to (e) of this subsection, unless the highest levy was the statutory maximum rate amount,</w:t>
      </w:r>
      <w:r>
        <w:rPr/>
        <w:t xml:space="preserve">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of real property, as that term is defined in section 1 of this act, within an increment area as designated by any local government in section 2 of this act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2014 c 4 s 5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 </w:t>
      </w:r>
      <w:r>
        <w:t>((</w:t>
      </w:r>
      <w:r>
        <w:rPr>
          <w:strike/>
        </w:rPr>
        <w:t xml:space="preserve">and</w:t>
      </w:r>
      <w:r>
        <w:t>))</w:t>
      </w:r>
    </w:p>
    <w:p>
      <w:pPr>
        <w:spacing w:before="0" w:after="0" w:line="408" w:lineRule="exact"/>
        <w:ind w:left="0" w:right="0" w:firstLine="576"/>
        <w:jc w:val="left"/>
      </w:pPr>
      <w:r>
        <w:rPr/>
        <w:t xml:space="preserve">(iv) Any increase in the value of state</w:t>
      </w:r>
      <w:r>
        <w:rPr/>
        <w:noBreakHyphen/>
      </w:r>
      <w:r>
        <w:rPr/>
        <w:t xml:space="preserve">assessed property</w:t>
      </w:r>
      <w:r>
        <w:rPr>
          <w:u w:val="single"/>
        </w:rPr>
        <w:t xml:space="preserve">; and</w:t>
      </w:r>
    </w:p>
    <w:p>
      <w:pPr>
        <w:spacing w:before="0" w:after="0" w:line="408" w:lineRule="exact"/>
        <w:ind w:left="0" w:right="0" w:firstLine="576"/>
        <w:jc w:val="left"/>
      </w:pPr>
      <w:r>
        <w:rPr>
          <w:u w:val="single"/>
        </w:rPr>
        <w:t xml:space="preserve">(v) Any increase in the assessed value of real property, as that term is defined in section 1 of this act, within an increment area as designated by any local government in section 2 of this act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79aa5a90cd8747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3aab237b245a2" /><Relationship Type="http://schemas.openxmlformats.org/officeDocument/2006/relationships/footer" Target="/word/footer1.xml" Id="R79aa5a90cd8747b2" /></Relationships>
</file>