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6b09189cbb41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1196</w:t>
      </w:r>
    </w:p>
    <w:p>
      <w:pPr>
        <w:jc w:val="center"/>
        <w:spacing w:before="480" w:after="0" w:line="240"/>
      </w:pPr>
      <w:r>
        <w:t xml:space="preserve">Chapter </w:t>
      </w:r>
      <w:r>
        <w:rPr/>
        <w:t xml:space="preserve">157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AUDIO-ONLY TELEMEDICINE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45</w:t>
            </w:r>
            <w:r>
              <w:t xml:space="preserve">  Nays </w:t>
              <w:t xml:space="preserve">4</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1196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Riccelli, Callan, Bateman, Ramos, Cody, Ortiz-Self, Duerr, Harris, Leavitt, Bergquist, Shewmake, Fitzgibbon, Macri, Tharinger, Slatter, Davis, Berg, Pollet, Orwall, Harris-Talley, and Frame)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amending RCW 41.05.700, 48.43.735, 70.41.020, 71.24.335, 74.09.325, 18.130.180, and 28B.20.830;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w:t>
      </w:r>
      <w:r>
        <w:rPr>
          <w:u w:val="single"/>
        </w:rPr>
        <w:t xml:space="preserve">(a)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w:t>
      </w:r>
      <w:r>
        <w:rPr>
          <w:u w:val="single"/>
        </w:rPr>
        <w:t xml:space="preserve">41.05.700(8), 48.43.735(8),</w:t>
      </w:r>
      <w:r>
        <w:rPr/>
        <w:t xml:space="preserve"> 48.49.020 </w:t>
      </w:r>
      <w:r>
        <w:t>((</w:t>
      </w:r>
      <w:r>
        <w:rPr>
          <w:strike/>
        </w:rPr>
        <w:t xml:space="preserve">or</w:t>
      </w:r>
      <w:r>
        <w:t>))</w:t>
      </w:r>
      <w:r>
        <w:rPr>
          <w:u w:val="single"/>
        </w:rPr>
        <w:t xml:space="preserve">,</w:t>
      </w:r>
      <w:r>
        <w:rPr/>
        <w:t xml:space="preserve"> 48.49.030</w:t>
      </w:r>
      <w:r>
        <w:rPr>
          <w:u w:val="single"/>
        </w:rPr>
        <w:t xml:space="preserve">, 71.24.335(8), or 74.09.325(8)</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(f)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w:t>
      </w:r>
      <w:r>
        <w:rPr>
          <w:u w:val="single"/>
        </w:rPr>
        <w:t xml:space="preserve">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u w:val="single"/>
        </w:rPr>
        <w:t xml:space="preserve">(7)</w:t>
      </w:r>
      <w:r>
        <w:rPr/>
        <w:t xml:space="preserve">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 Nothing in this act alters the requirement for the health care authority to report potential fraud to the medicaid fraud control division of the Washington attorney general's office under 42 C.F.R. 455.21.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15,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98810c18c5c2429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7e886bed24448" /><Relationship Type="http://schemas.openxmlformats.org/officeDocument/2006/relationships/footer" Target="/word/footer1.xml" Id="R98810c18c5c2429b" /></Relationships>
</file>