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15b095def4e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1320</w:t>
      </w:r>
    </w:p>
    <w:p>
      <w:pPr>
        <w:jc w:val="center"/>
        <w:spacing w:before="480" w:after="0" w:line="240"/>
      </w:pPr>
      <w:r>
        <w:t xml:space="preserve">Chapter </w:t>
      </w:r>
      <w:r>
        <w:rPr/>
        <w:t xml:space="preserve">215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CIVIL PROTECTION ORDERS</w:t>
      </w:r>
    </w:p>
    <w:p>
      <w:pPr>
        <w:spacing w:before="720" w:after="240" w:line="240" w:lineRule="exact"/>
        <w:ind w:left="0" w:right="0" w:firstLine="0"/>
        <w:jc w:val="center"/>
      </w:pPr>
      <w:r>
        <w:t xml:space="preserve">EFFECTIVE DATE: </w:t>
      </w:r>
      <w:r>
        <w:rPr/>
        <w:t xml:space="preserve">July 1, 2022</w:t>
      </w:r>
      <w:r>
        <w:rPr>
          <w:rFonts w:ascii="Times New Roman" w:hAnsi="Times New Roman"/>
        </w:rPr>
        <w:t xml:space="preserve">—</w:t>
      </w:r>
      <w:r>
        <w:rPr/>
        <w:t xml:space="preserve">Except for sections 12, 16, 18, 25, and 36, which take effect 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Thai, Fitzgibbon, Hackney, Wylie, Gregerson, Senn, Ortiz-Self, Davis, Valdez, Lekanoff, Macri, Slatter,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Forty-five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including those involving minors. Participants should include those from both rural and urban jurisdictions.</w:t>
      </w:r>
    </w:p>
    <w:p>
      <w:pPr>
        <w:spacing w:before="0" w:after="0" w:line="408" w:lineRule="exact"/>
        <w:ind w:left="0" w:right="0" w:firstLine="576"/>
        <w:jc w:val="left"/>
      </w:pPr>
      <w:r>
        <w:rPr/>
        <w:t xml:space="preserve">(3) The gender and justice commission shall provide summary recommendations to the legislature by December 1, 2021.</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all electronically filed court documents available for electronic access by judicial officers statewide. Judicial officers may not be charged for access to such documents.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or from a person who has engaged in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Subject to the availability of amounts appropriated for this specific purpose, or as provided through alternative sources including, but not limited to, grants, local funding, or pro bono means, 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Other than for antiharassment orders,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interpret for the party in the presence of counsel or court staff in preparing forms and participating in the hearing and court-ordered assessments, and the interpreter shall sight translate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16, 18, 25, and 36 of this act, this act takes effect July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9288266cec2a4b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dcfffa9b24123" /><Relationship Type="http://schemas.openxmlformats.org/officeDocument/2006/relationships/footer" Target="/word/footer1.xml" Id="R9288266cec2a4b2d" /></Relationships>
</file>