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59ee589484b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1616</w:t>
      </w:r>
    </w:p>
    <w:p>
      <w:pPr>
        <w:jc w:val="center"/>
        <w:spacing w:before="480" w:after="0" w:line="240"/>
      </w:pPr>
      <w:r>
        <w:t xml:space="preserve">Chapter </w:t>
      </w:r>
      <w:r>
        <w:rPr/>
        <w:t xml:space="preserve">197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HOSPITAL CHARITY CARE—VARIOUS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65</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31</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Simmons, Cody, Bateman, Valdez, Davis, Macri, Slatter, Pollet, and Taylor; by request of Attorney General)</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charity care act; amending RCW 70.170.020 and 70.170.060;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2018 c 263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(7)</w:t>
      </w:r>
      <w:r>
        <w:t>))</w:t>
      </w:r>
      <w:r>
        <w:rPr/>
        <w:t xml:space="preserve"> </w:t>
      </w:r>
      <w:r>
        <w:rPr>
          <w:u w:val="single"/>
        </w:rPr>
        <w:t xml:space="preserve">(8)</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"Indigent persons" are those patients or their guarantors who qualify for charity care pursuant to section 2(5) of this act based on the federal poverty level, adjusted for family size, and who have exhausted any third-party coverage.</w:t>
      </w:r>
    </w:p>
    <w:p>
      <w:pPr>
        <w:spacing w:before="0" w:after="0" w:line="408" w:lineRule="exact"/>
        <w:ind w:left="0" w:right="0" w:firstLine="576"/>
        <w:jc w:val="left"/>
      </w:pPr>
      <w:r>
        <w:rPr>
          <w:u w:val="single"/>
        </w:rPr>
        <w:t xml:space="preserve">(6)</w:t>
      </w:r>
      <w:r>
        <w:rPr/>
        <w:t xml:space="preserve">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t>((</w:t>
      </w:r>
      <w:r>
        <w:rPr>
          <w:strike/>
        </w:rPr>
        <w:t xml:space="preserve">(6) "Sliding fee schedule" means a hospital-determined, publicly available schedule of discounts to charges for persons deemed eligible for charity care; such schedules shall be established after consideration of guidelines developed by the department.</w:t>
      </w:r>
      <w:r>
        <w:t>))</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w:t>
      </w:r>
      <w:r>
        <w:rPr>
          <w:u w:val="single"/>
        </w:rPr>
        <w:t xml:space="preserve">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w:t>
      </w:r>
      <w:r>
        <w:t>((</w:t>
      </w:r>
      <w:r>
        <w:rPr>
          <w:strike/>
        </w:rPr>
        <w:t xml:space="preserve">charity care</w:t>
      </w:r>
      <w:r>
        <w:t>))</w:t>
      </w:r>
      <w:r>
        <w:rPr/>
        <w:t xml:space="preserve"> policy which</w:t>
      </w:r>
      <w:r>
        <w:t>((</w:t>
      </w:r>
      <w:r>
        <w:rPr>
          <w:strike/>
        </w:rPr>
        <w:t xml:space="preserve">, consistent with subsection (1) of this section,</w:t>
      </w:r>
      <w:r>
        <w:t>))</w:t>
      </w:r>
      <w:r>
        <w:rPr/>
        <w:t xml:space="preserve"> shall enable </w:t>
      </w:r>
      <w:r>
        <w:t>((</w:t>
      </w:r>
      <w:r>
        <w:rPr>
          <w:strike/>
        </w:rPr>
        <w:t xml:space="preserve">people below the federal poverty level</w:t>
      </w:r>
      <w:r>
        <w:t>))</w:t>
      </w:r>
      <w:r>
        <w:rPr/>
        <w:t xml:space="preserve"> </w:t>
      </w:r>
      <w:r>
        <w:rPr>
          <w:u w:val="single"/>
        </w:rPr>
        <w:t xml:space="preserve">indigent persons</w:t>
      </w:r>
      <w:r>
        <w:rPr/>
        <w:t xml:space="preserve"> access to </w:t>
      </w:r>
      <w:r>
        <w:t>((</w:t>
      </w:r>
      <w:r>
        <w:rPr>
          <w:strike/>
        </w:rPr>
        <w:t xml:space="preserve">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r>
        <w:t>))</w:t>
      </w:r>
      <w:r>
        <w:rPr/>
        <w:t xml:space="preserve"> </w:t>
      </w:r>
      <w:r>
        <w:rPr>
          <w:u w:val="single"/>
        </w:rPr>
        <w:t xml:space="preserve">charity care. The policy shall include procedures for identifying patients </w:t>
      </w:r>
      <w:r>
        <w:rPr>
          <w:u w:val="single"/>
        </w:rPr>
        <w:t xml:space="preserve">who may be eligible for health care coverage through medical assistance programs under chapter 74.09 RCW or the Washington health benefit exchange and actively assisting patients to apply for any available coverage. If a hospital determines that a patient or their guarantor is qualified for retroactive health care coverage through the medical assistance programs under chapter 74.09 RCW, a hospital shall assist the patient or guarantor with applying for such coverage. If a hospital determines that a patient or their guarantor qualifies for retroactive health care coverage through the medical assistance programs under chapter 74.09 RCW, a hospital is not obligated to provide charity care under this section to any patient or their guarantor if the patient or their guarantor fails to make reasonable efforts to cooperate with the hospital's efforts to assist them in applying for such coverage. Hospitals may not impose application procedures for charity care or for assistance with retroactive coverage applications which place an unreasonable burden upon the patient or guarantor, taking into account any physical, mental, intellectual, or sensory deficiencies, or language barriers which may hinder the responsible party's capability of complying with application procedures. It is an unreasonable burden to require a patient to apply for any state or federal program where the patient is obviously or categorically ineligible or has been deemed ineligible in the prior 12 months.</w:t>
      </w:r>
    </w:p>
    <w:p>
      <w:pPr>
        <w:spacing w:before="0" w:after="0" w:line="408" w:lineRule="exact"/>
        <w:ind w:left="0" w:right="0" w:firstLine="576"/>
        <w:jc w:val="left"/>
      </w:pPr>
      <w:r>
        <w:rPr>
          <w:u w:val="single"/>
        </w:rPr>
        <w:t xml:space="preserve">(a) At a minimum, a hospital owned or operated by a health system that owns or operates three or more acute hospitals licensed under chapter 70.41 RCW, an acute care hospital with over 300 licensed beds located in the most populous county in Washington, or an acute care hospital with over 200 licensed beds located in a county with at least 450,000 residents and located on Washington's southern border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300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301 and 350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u w:val="single"/>
        </w:rPr>
        <w:t xml:space="preserve">(iii) All patients and their guarantors whose income is between 351 and 400 percent of the federal poverty level, adjusted for family size, shall be entitled to a 50 percent discount for the full amount of the patient responsibility portion of their hospital charges, </w:t>
      </w:r>
      <w:r>
        <w:rPr>
          <w:u w:val="single"/>
        </w:rPr>
        <w:t xml:space="preserve">which may be reduced by amounts reasonably related to assets considered pursuant to (c) of this subsection.</w:t>
      </w:r>
    </w:p>
    <w:p>
      <w:pPr>
        <w:spacing w:before="0" w:after="0" w:line="408" w:lineRule="exact"/>
        <w:ind w:left="0" w:right="0" w:firstLine="576"/>
        <w:jc w:val="left"/>
      </w:pPr>
      <w:r>
        <w:rPr>
          <w:u w:val="single"/>
        </w:rPr>
        <w:t xml:space="preserve">(b) At a minimum, a hospital not subject to (a) of this subsection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200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201 and 250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 and</w:t>
      </w:r>
    </w:p>
    <w:p>
      <w:pPr>
        <w:spacing w:before="0" w:after="0" w:line="408" w:lineRule="exact"/>
        <w:ind w:left="0" w:right="0" w:firstLine="576"/>
        <w:jc w:val="left"/>
      </w:pPr>
      <w:r>
        <w:rPr>
          <w:u w:val="single"/>
        </w:rPr>
        <w:t xml:space="preserve">(iii) All patients and their guarantors whose income is between 251 and 300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r>
        <w:rPr>
          <w:u w:val="single"/>
        </w:rPr>
        <w:t xml:space="preserve">.</w:t>
      </w:r>
    </w:p>
    <w:p>
      <w:pPr>
        <w:spacing w:before="0" w:after="0" w:line="408" w:lineRule="exact"/>
        <w:ind w:left="0" w:right="0" w:firstLine="576"/>
        <w:jc w:val="left"/>
      </w:pPr>
      <w:r>
        <w:rPr>
          <w:u w:val="single"/>
        </w:rPr>
        <w:t xml:space="preserve">(c)(i) If a hospital considers the existence, availability, and value of assets in order to reduce the discount extended, it must establish and make publicly available a policy on asset considerations and corresponding discount reductions.</w:t>
      </w:r>
    </w:p>
    <w:p>
      <w:pPr>
        <w:spacing w:before="0" w:after="0" w:line="408" w:lineRule="exact"/>
        <w:ind w:left="0" w:right="0" w:firstLine="576"/>
        <w:jc w:val="left"/>
      </w:pPr>
      <w:r>
        <w:rPr>
          <w:u w:val="single"/>
        </w:rPr>
        <w:t xml:space="preserve">(ii) If a hospital considers assets, the following types of assets shall be excluded from consideration:</w:t>
      </w:r>
    </w:p>
    <w:p>
      <w:pPr>
        <w:spacing w:before="0" w:after="0" w:line="408" w:lineRule="exact"/>
        <w:ind w:left="0" w:right="0" w:firstLine="576"/>
        <w:jc w:val="left"/>
      </w:pPr>
      <w:r>
        <w:rPr>
          <w:u w:val="single"/>
        </w:rPr>
        <w:t xml:space="preserve">(A) The first $5,000 of monetary assets for an individual or $8,000 of monetary assets for a family of two, and $1,500 of monetary assets for each additional family member. The value of any asset that has a penalty for early withdrawal shall be the value of the asset after the penalty has been paid;</w:t>
      </w:r>
    </w:p>
    <w:p>
      <w:pPr>
        <w:spacing w:before="0" w:after="0" w:line="408" w:lineRule="exact"/>
        <w:ind w:left="0" w:right="0" w:firstLine="576"/>
        <w:jc w:val="left"/>
      </w:pPr>
      <w:r>
        <w:rPr>
          <w:u w:val="single"/>
        </w:rPr>
        <w:t xml:space="preserve">(B) Any equity in a primary residence;</w:t>
      </w:r>
    </w:p>
    <w:p>
      <w:pPr>
        <w:spacing w:before="0" w:after="0" w:line="408" w:lineRule="exact"/>
        <w:ind w:left="0" w:right="0" w:firstLine="576"/>
        <w:jc w:val="left"/>
      </w:pPr>
      <w:r>
        <w:rPr>
          <w:u w:val="single"/>
        </w:rPr>
        <w:t xml:space="preserve">(C) Retirement plans other than 401(k) plans;</w:t>
      </w:r>
    </w:p>
    <w:p>
      <w:pPr>
        <w:spacing w:before="0" w:after="0" w:line="408" w:lineRule="exact"/>
        <w:ind w:left="0" w:right="0" w:firstLine="576"/>
        <w:jc w:val="left"/>
      </w:pPr>
      <w:r>
        <w:rPr>
          <w:u w:val="single"/>
        </w:rPr>
        <w:t xml:space="preserve">(D) One motor vehicle and a second motor vehicle if it is necessary for employment or medical purposes;</w:t>
      </w:r>
    </w:p>
    <w:p>
      <w:pPr>
        <w:spacing w:before="0" w:after="0" w:line="408" w:lineRule="exact"/>
        <w:ind w:left="0" w:right="0" w:firstLine="576"/>
        <w:jc w:val="left"/>
      </w:pPr>
      <w:r>
        <w:rPr>
          <w:u w:val="single"/>
        </w:rPr>
        <w:t xml:space="preserve">(E) Any prepaid burial contract or burial plot; and</w:t>
      </w:r>
    </w:p>
    <w:p>
      <w:pPr>
        <w:spacing w:before="0" w:after="0" w:line="408" w:lineRule="exact"/>
        <w:ind w:left="0" w:right="0" w:firstLine="576"/>
        <w:jc w:val="left"/>
      </w:pPr>
      <w:r>
        <w:rPr>
          <w:u w:val="single"/>
        </w:rPr>
        <w:t xml:space="preserve">(F) Any life insurance policy with a face value of $10,000 or less.</w:t>
      </w:r>
    </w:p>
    <w:p>
      <w:pPr>
        <w:spacing w:before="0" w:after="0" w:line="408" w:lineRule="exact"/>
        <w:ind w:left="0" w:right="0" w:firstLine="576"/>
        <w:jc w:val="left"/>
      </w:pPr>
      <w:r>
        <w:rPr>
          <w:u w:val="single"/>
        </w:rPr>
        <w:t xml:space="preserve">(iii) In considering assets, a hospital may not impose procedures which place an unreasonable burden on the responsible party. Information requests from the hospital to the responsible party for the verification of assets shall be limited to that which is reasonably necessary and readily available to substantiate the responsible party's qualification for charity sponsorship and may not be used to discourage application for such sponsorship. Only those facts relevant to eligibility may be verified and duplicate forms of verification may not be demanded.</w:t>
      </w:r>
    </w:p>
    <w:p>
      <w:pPr>
        <w:spacing w:before="0" w:after="0" w:line="408" w:lineRule="exact"/>
        <w:ind w:left="0" w:right="0" w:firstLine="576"/>
        <w:jc w:val="left"/>
      </w:pPr>
      <w:r>
        <w:rPr>
          <w:u w:val="single"/>
        </w:rPr>
        <w:t xml:space="preserve">(A) In considering monetary assets, one current account statement shall be considered sufficient for a hospital to verify a patient's assets.</w:t>
      </w:r>
    </w:p>
    <w:p>
      <w:pPr>
        <w:spacing w:before="0" w:after="0" w:line="408" w:lineRule="exact"/>
        <w:ind w:left="0" w:right="0" w:firstLine="576"/>
        <w:jc w:val="left"/>
      </w:pPr>
      <w:r>
        <w:rPr>
          <w:u w:val="single"/>
        </w:rPr>
        <w:t xml:space="preserve">(B) In the event that no documentation for an asset is available, a hospital shall rely upon a written and signed statement from the responsible party.</w:t>
      </w:r>
    </w:p>
    <w:p>
      <w:pPr>
        <w:spacing w:before="0" w:after="0" w:line="408" w:lineRule="exact"/>
        <w:ind w:left="0" w:right="0" w:firstLine="576"/>
        <w:jc w:val="left"/>
      </w:pPr>
      <w:r>
        <w:rPr>
          <w:u w:val="single"/>
        </w:rPr>
        <w:t xml:space="preserve">(iv) Asset information obtained by the hospital in evaluating a patient for charity care eligibility shall not be used for collection activities.</w:t>
      </w:r>
    </w:p>
    <w:p>
      <w:pPr>
        <w:spacing w:before="0" w:after="0" w:line="408" w:lineRule="exact"/>
        <w:ind w:left="0" w:right="0" w:firstLine="576"/>
        <w:jc w:val="left"/>
      </w:pPr>
      <w:r>
        <w:rPr>
          <w:u w:val="single"/>
        </w:rPr>
        <w:t xml:space="preserve">(v) Nothing in this section prevents a hospital from considering assets as required by the centers for medicare and medicaid services related to medicare cost reporting.</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Washington health benefit exchange, shall study and analyze how increasing eligibility for charity care impacts enrollment in health plans with high deductibles over a four-year time period.</w:t>
      </w:r>
    </w:p>
    <w:p>
      <w:pPr>
        <w:spacing w:before="0" w:after="0" w:line="408" w:lineRule="exact"/>
        <w:ind w:left="0" w:right="0" w:firstLine="576"/>
        <w:jc w:val="left"/>
      </w:pPr>
      <w:r>
        <w:rPr/>
        <w:t xml:space="preserve">(2) By November 1, 2026, the office of the insurance commissioner shall report to the health care committees of the legislature enrollment trends in health plans with high deductibles from January 1, 2023, through June 30, 2026. The one-time report shall include the number of individuals enrolled in high deductible plans for each year and by each county.</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care provided on or after July 1, 2022. This act does not affect the ability of a patient who received care prior to July 1, 2022, to receive charity care under RCW 70.170.020 and 70.170.060 as the sections existed before that 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e52305a375e644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1c093760e4401" /><Relationship Type="http://schemas.openxmlformats.org/officeDocument/2006/relationships/footer" Target="/word/footer1.xml" Id="Re52305a375e64455" /></Relationships>
</file>