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1dbbadd53f4e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1641</w:t>
      </w:r>
    </w:p>
    <w:p>
      <w:pPr>
        <w:jc w:val="center"/>
        <w:spacing w:before="480" w:after="0" w:line="240"/>
      </w:pPr>
      <w:r>
        <w:t xml:space="preserve">Chapter </w:t>
      </w:r>
      <w:r>
        <w:rPr/>
        <w:t xml:space="preserve">119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CUSTOM FARMING SERVICES AND AGRICULTURAL HAULING—TAX EXEMPTIONS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Hoff, Springer, Corry, Dufault, Graham, Sutherland, Rule, Griffey, and Young</w:t>
      </w:r>
    </w:p>
    <w:p/>
    <w:p>
      <w:r>
        <w:rPr>
          <w:t xml:space="preserve">Prefiled 12/13/21.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business and occupation and public utility tax exemption for custom farming and hauling farm products; adding a new section to chapter 82.04 RCW; adding a new section to chapter 82.16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marijuana.</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marijuana.</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shall not apply to any person hauling agricultural products or farm machinery or equipment for a farmer or for a person performing custom farming services, when the person providing the hauling and the farmer or person performing custom farming services are related.</w:t>
      </w:r>
    </w:p>
    <w:p>
      <w:pPr>
        <w:spacing w:before="0" w:after="0" w:line="408" w:lineRule="exact"/>
        <w:ind w:left="0" w:right="0" w:firstLine="576"/>
        <w:jc w:val="left"/>
      </w:pPr>
      <w:r>
        <w:rPr/>
        <w:t xml:space="preserve">(2) The exemption provided by this section shall not apply to the hauling of any substances or articles manufactured from agricultural products. For the purposes of this subsection, "manufactured" has the same meaning as "to manufacture" in RCW 82.04.120.</w:t>
      </w:r>
    </w:p>
    <w:p>
      <w:pPr>
        <w:spacing w:before="0" w:after="0" w:line="408" w:lineRule="exact"/>
        <w:ind w:left="0" w:right="0" w:firstLine="576"/>
        <w:jc w:val="left"/>
      </w:pPr>
      <w:r>
        <w:rPr/>
        <w:t xml:space="preserve">(3) The definitions in RCW 82.04.213 and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2022 (sections 1 and 2 of this act). This performance statement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provide tax relief to farmers, including those who changed their farm structure in response to federal regulations regarding irrigated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82.32.808(4)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27b42f974c3e47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53cb59dbe4859" /><Relationship Type="http://schemas.openxmlformats.org/officeDocument/2006/relationships/footer" Target="/word/footer1.xml" Id="R27b42f974c3e47a7" /></Relationships>
</file>