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a9cbe485742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1815</w:t>
      </w:r>
    </w:p>
    <w:p>
      <w:pPr>
        <w:jc w:val="center"/>
        <w:spacing w:before="480" w:after="0" w:line="240"/>
      </w:pPr>
      <w:r>
        <w:t xml:space="preserve">Chapter </w:t>
      </w:r>
      <w:r>
        <w:rPr/>
        <w:t xml:space="preserve">221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CATALYTIC CONVERTER THEFT</w:t>
      </w:r>
    </w:p>
    <w:p>
      <w:pPr>
        <w:spacing w:before="720" w:after="240" w:line="240" w:lineRule="exact"/>
        <w:ind w:left="0" w:right="0" w:firstLine="0"/>
        <w:jc w:val="center"/>
      </w:pPr>
      <w:r>
        <w:t xml:space="preserve">EFFECTIVE DATE: </w:t>
      </w:r>
      <w:r>
        <w:rPr/>
        <w:t xml:space="preserve">March 30, 2022</w:t>
      </w:r>
      <w:r>
        <w:rPr>
          <w:rFonts w:ascii="Times New Roman" w:hAnsi="Times New Roman"/>
        </w:rPr>
        <w:t xml:space="preserve">—</w:t>
      </w:r>
      <w:r>
        <w:rPr/>
        <w:t xml:space="preserve">Except for section 4, which takes effect May 1, 2022; and sections 5 through 7, which take effect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Transportation (originally sponsored by 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19.290.030, 19.290.070, 46.80.080, 36.28A.240, and 43.43.885; adding a new section to chapter 46.80 RCW; adding a new section to chapter 9A.56 RCW; creating new sections; recodifying RCW 19.290.070;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u w:val="single"/>
        </w:rPr>
        <w:t xml:space="preserve">(3)(a)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u w:val="single"/>
        </w:rPr>
        <w:t xml:space="preserve">(b) All damages awarded to the state of Washington under chapter 19.86 RCW shall be distributed as follows:</w:t>
      </w:r>
    </w:p>
    <w:p>
      <w:pPr>
        <w:spacing w:before="0" w:after="0" w:line="408" w:lineRule="exact"/>
        <w:ind w:left="0" w:right="0" w:firstLine="576"/>
        <w:jc w:val="left"/>
      </w:pPr>
      <w:r>
        <w:rPr>
          <w:u w:val="single"/>
        </w:rPr>
        <w:t xml:space="preserve">(i) Ninety percent to the grant and training program in RCW 36.28A.240; and</w:t>
      </w:r>
    </w:p>
    <w:p>
      <w:pPr>
        <w:spacing w:before="0" w:after="0" w:line="408" w:lineRule="exact"/>
        <w:ind w:left="0" w:right="0" w:firstLine="576"/>
        <w:jc w:val="left"/>
      </w:pPr>
      <w:r>
        <w:rPr>
          <w:u w:val="single"/>
        </w:rPr>
        <w:t xml:space="preserve">(ii) Ten percent to the no-buy list database program in RCW 43.43.885.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Payment to individual sellers of private metal property as defined in RCW 19.290.010 may not be made at the time of the transaction and shall not be paid earlier than three business days after the transaction was made.</w:t>
      </w:r>
    </w:p>
    <w:p>
      <w:pPr>
        <w:spacing w:before="0" w:after="0" w:line="408" w:lineRule="exact"/>
        <w:ind w:left="0" w:right="0" w:firstLine="576"/>
        <w:jc w:val="left"/>
      </w:pPr>
      <w:r>
        <w:rPr/>
        <w:t xml:space="preserve">No transaction involving catalytic converters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1999 c 278 s 2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w:t>
      </w:r>
      <w:r>
        <w:rPr>
          <w:u w:val="single"/>
        </w:rPr>
        <w:t xml:space="preserve">, including catalytic converters,</w:t>
      </w:r>
      <w:r>
        <w:rPr/>
        <w:t xml:space="preserve">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w:t>
      </w:r>
      <w:r>
        <w:rPr>
          <w:u w:val="single"/>
        </w:rPr>
        <w:t xml:space="preserve">, including catalytic converters,</w:t>
      </w:r>
      <w:r>
        <w:rPr/>
        <w:t xml:space="preserve">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w:t>
      </w:r>
      <w:r>
        <w:rPr>
          <w:u w:val="single"/>
        </w:rPr>
        <w:t xml:space="preserve">, including catalytic converters,</w:t>
      </w:r>
      <w:r>
        <w:rPr/>
        <w:t xml:space="preserve"> acquired by the licensee, identifying the seller by name, address, and date of sale.</w:t>
      </w:r>
    </w:p>
    <w:p>
      <w:pPr>
        <w:spacing w:before="0" w:after="0" w:line="408" w:lineRule="exact"/>
        <w:ind w:left="0" w:right="0" w:firstLine="576"/>
        <w:jc w:val="left"/>
      </w:pPr>
      <w:r>
        <w:rPr/>
        <w:t xml:space="preserve">(4) The records shall be maintained by the licensee at his or her established place of business for a period of three years from the date of acquisition.</w:t>
      </w:r>
    </w:p>
    <w:p>
      <w:pPr>
        <w:spacing w:before="0" w:after="0" w:line="408" w:lineRule="exact"/>
        <w:ind w:left="0" w:right="0" w:firstLine="576"/>
        <w:jc w:val="left"/>
      </w:pPr>
      <w:r>
        <w:rPr/>
        <w:t xml:space="preserve">(5)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rPr/>
        <w:t xml:space="preserve">(6)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rPr/>
        <w:t xml:space="preserve">(7)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other appropriate entities, such as those involved in enforcement against metal theft</w:t>
      </w:r>
      <w:r>
        <w:rPr/>
        <w:t xml:space="preserve">. Grant applicants </w:t>
      </w:r>
      <w:r>
        <w:rPr>
          <w:u w:val="single"/>
        </w:rPr>
        <w:t xml:space="preserve">with a demonstrated increase in metal theft over the previous 24 months</w:t>
      </w:r>
      <w:r>
        <w:rPr/>
        <w:t xml:space="preserve">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7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2ec767d4c97147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6cda264e64ac0" /><Relationship Type="http://schemas.openxmlformats.org/officeDocument/2006/relationships/footer" Target="/word/footer1.xml" Id="R2ec767d4c971475a" /></Relationships>
</file>