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76caa5ec4a42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1890</w:t>
      </w:r>
    </w:p>
    <w:p>
      <w:pPr>
        <w:jc w:val="center"/>
        <w:spacing w:before="480" w:after="0" w:line="240"/>
      </w:pPr>
      <w:r>
        <w:t xml:space="preserve">Chapter </w:t>
      </w:r>
      <w:r>
        <w:rPr/>
        <w:t xml:space="preserve">76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CHILDREN AND YOUTH BEHAVIORAL HEALTH WORK GROUP—MODIFICATION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90</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Callan, Dent, Berry, Leavitt, Ramos, Slatter, Stonier, Wicks, Rule, Chopp, Goodman, Paul, Orwall, Taylor, Riccelli, Frame, Lekanoff, Davis, Macri, Harris-Talley,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u w:val="single"/>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u w:val="single"/>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u w:val="single"/>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u w:val="single"/>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September 1, 2022;</w:t>
      </w:r>
    </w:p>
    <w:p>
      <w:pPr>
        <w:spacing w:before="0" w:after="0" w:line="408" w:lineRule="exact"/>
        <w:ind w:left="0" w:right="0" w:firstLine="576"/>
        <w:jc w:val="left"/>
      </w:pPr>
      <w:r>
        <w:rPr>
          <w:u w:val="single"/>
        </w:rPr>
        <w:t xml:space="preserve">(ii) Select third-party entities described under (d) of this subsection by December 31,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The following definitions apply to this section:</w:t>
      </w:r>
    </w:p>
    <w:p>
      <w:pPr>
        <w:spacing w:before="0" w:after="0" w:line="408" w:lineRule="exact"/>
        <w:ind w:left="0" w:right="0" w:firstLine="576"/>
        <w:jc w:val="left"/>
      </w:pPr>
      <w:r>
        <w:rPr>
          <w:u w:val="single"/>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u w:val="single"/>
        </w:rPr>
        <w:t xml:space="preserve">(b) "Families in the perinatal phase" means families during the time from pregnancy through one year after birth.</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a419a4eb330147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39b9da97d42d2" /><Relationship Type="http://schemas.openxmlformats.org/officeDocument/2006/relationships/footer" Target="/word/footer1.xml" Id="Ra419a4eb330147d6" /></Relationships>
</file>