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55df786c0944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1941</w:t>
      </w:r>
    </w:p>
    <w:p>
      <w:pPr>
        <w:jc w:val="center"/>
        <w:spacing w:before="480" w:after="0" w:line="240"/>
      </w:pPr>
      <w:r>
        <w:t xml:space="preserve">Chapter </w:t>
      </w:r>
      <w:r>
        <w:rPr/>
        <w:t xml:space="preserve">77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SCHOOL SAFETY DRILLS—ACTIVE SHOOTER SCENARIOS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69</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Education (originally sponsored by Representative Walen)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active shooter scenarios for school safety-related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2021 c 223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w:t>
      </w:r>
      <w:r>
        <w:rPr>
          <w:u w:val="single"/>
        </w:rPr>
        <w:t xml:space="preserve">. Lockdown drills may not include live simulations of or reenactments of active shooter scenarios that are not trauma-informed and age and developmentally appropriate</w:t>
      </w:r>
      <w:r>
        <w:rPr/>
        <w:t xml:space="preserve">;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rPr/>
        <w:t xml:space="preserve">(e)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41a0fe5b4d1941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d9da4d0d241a7" /><Relationship Type="http://schemas.openxmlformats.org/officeDocument/2006/relationships/footer" Target="/word/footer1.xml" Id="R41a0fe5b4d194106" /></Relationships>
</file>