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8416cd72c4f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2058</w:t>
      </w:r>
    </w:p>
    <w:p>
      <w:pPr>
        <w:jc w:val="center"/>
        <w:spacing w:before="480" w:after="0" w:line="240"/>
      </w:pPr>
      <w:r>
        <w:t xml:space="preserve">Chapter </w:t>
      </w:r>
      <w:r>
        <w:rPr/>
        <w:t xml:space="preserve">147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PARKS AND RECREATION COMMISSION—HISTORIC FACILITIES—LEASEHOLD EXCISE TAX EXEMPTION</w:t>
      </w:r>
    </w:p>
    <w:p>
      <w:pPr>
        <w:spacing w:before="720" w:after="240" w:line="240" w:lineRule="exact"/>
        <w:ind w:left="0" w:right="0" w:firstLine="0"/>
        <w:jc w:val="center"/>
      </w:pPr>
      <w:r>
        <w:t xml:space="preserve">EFFECTIVE DATE: </w:t>
      </w:r>
      <w:r>
        <w:rPr/>
        <w:t xml:space="preserve">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Tharinger, Leavitt, Santos, Shewmake, Harris-Talley, Eslick, and Lekanoff</w:t>
      </w:r>
    </w:p>
    <w:p/>
    <w:p>
      <w:r>
        <w:rPr>
          <w:t xml:space="preserve">Read first time 01/20/22.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preservation and protection of facilities owned by the state parks and recreation commission that are listed on the Washington heritage register or the national register of historic places; amending RCW 82.29A.130;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(22) All leasehold interests in facilities owned by the state parks and recreation commission that are listed on the national register of historic places or the Washington heritage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1, chapter . . ., Laws of 2022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contributions to historically significant places listed on the national register of historic places or the Washington heritage register.</w:t>
      </w:r>
    </w:p>
    <w:p>
      <w:pPr>
        <w:spacing w:before="0" w:after="0" w:line="408" w:lineRule="exact"/>
        <w:ind w:left="0" w:right="0" w:firstLine="576"/>
        <w:jc w:val="left"/>
      </w:pPr>
      <w:r>
        <w:rPr/>
        <w:t xml:space="preserve">(4) If a review finds that the statewide amount of contributions made by lessees of state parks and recreation commission-owned historical sites for the purposes of maintaining or improving such sites has increased,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89a0ea3cb6cf45a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3d000cdc046e1" /><Relationship Type="http://schemas.openxmlformats.org/officeDocument/2006/relationships/footer" Target="/word/footer1.xml" Id="R89a0ea3cb6cf45af" /></Relationships>
</file>