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8f3bbde3b45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5000</w:t>
      </w:r>
    </w:p>
    <w:p>
      <w:pPr>
        <w:jc w:val="center"/>
        <w:spacing w:before="480" w:after="0" w:line="240"/>
      </w:pPr>
      <w:r>
        <w:t xml:space="preserve">Chapter </w:t>
      </w:r>
      <w:r>
        <w:rPr/>
        <w:t xml:space="preserve">171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HYDROGEN FUEL CELL ELECTRIC VEHICLES—SALES AND USE TAX EXEMPTION</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5000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5000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Hawkins, Lovelett, Billig, Braun, Carlyle, Conway, Das, Ericksen, Fortunato, Gildon, Hasegawa, Holy, Hunt, King, Kuderer, Mullet, Muzzall, Nguyen, Padden, Pedersen, Rivers, Robinson, Salomon, Sheldon, Van De Wege, Wagoner, Warnick, Wellman, Wilson, C.,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hydrogen fuel cell electric vehicles;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chapter . . ., Laws of 2021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hydrogen fuel cell electric vehicles in Washington as another way of promoting clean alternative fuel vehicle adoption in the state. It is the legislature's intent to establish an eight-year pilot tax incentive program for fuel cell electric vehicles by creating a temporary partial sales and use tax exemption on fuel cell electric vehicles in order to reduce the price charged to customers and to evaluate the feasibility of wider adoption of the use of fuel cell electric technology in transportation.</w:t>
      </w:r>
    </w:p>
    <w:p>
      <w:pPr>
        <w:spacing w:before="0" w:after="0" w:line="408" w:lineRule="exact"/>
        <w:ind w:left="0" w:right="0" w:firstLine="576"/>
        <w:jc w:val="left"/>
      </w:pPr>
      <w:r>
        <w:rPr/>
        <w:t xml:space="preserve">(3) Since the tax incentive created in sections 2 and 3 of this act is limited to eight years, the joint legislative audit and review committee must, within the committee's appropriations, evaluate the effectiveness of this tax incentive on the number of hydrogen fuel cell vehicles titled in the state by November 1, 2028.</w:t>
      </w:r>
    </w:p>
    <w:p>
      <w:pPr>
        <w:spacing w:before="0" w:after="0" w:line="408" w:lineRule="exact"/>
        <w:ind w:left="0" w:right="0" w:firstLine="576"/>
        <w:jc w:val="left"/>
      </w:pPr>
      <w:r>
        <w:rPr/>
        <w:t xml:space="preserve">(4) The department of licensing and the department of revenue must, within the departments' respective appropriations,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fifty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section 3 of this act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(6)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section 3 of this act by month of purchase or lease start and vehicle make and model; the dollar amount of all state retail sales and use taxes exempted on or after the qualification period start date, under this section and section 3 of this act; and estimates of the future costs of leased vehicles that qualified for the exemptions under this section and section 3 of this act.</w:t>
      </w:r>
    </w:p>
    <w:p>
      <w:pPr>
        <w:spacing w:before="0" w:after="0" w:line="408" w:lineRule="exact"/>
        <w:ind w:left="0" w:right="0" w:firstLine="576"/>
        <w:jc w:val="left"/>
      </w:pPr>
      <w:r>
        <w:rPr/>
        <w:t xml:space="preserve">(7)(a)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 </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rPr/>
        <w:t xml:space="preserve">(9)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in this subsection and section 2(1)(c) of this act, beginning July 1, 2022, with sales made or lease agreements signed on or after this date until the expiration of this section, fifty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t xml:space="preserve">(5)(a)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(6) The definitions in section 2 of this act apply to this section.</w:t>
      </w:r>
    </w:p>
    <w:p>
      <w:pPr>
        <w:spacing w:before="0" w:after="0" w:line="408" w:lineRule="exact"/>
        <w:ind w:left="0" w:right="0" w:firstLine="576"/>
        <w:jc w:val="left"/>
      </w:pPr>
      <w:r>
        <w:rPr/>
        <w:t xml:space="preserve">(7)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b760bb701d5249b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d222b9f86485d" /><Relationship Type="http://schemas.openxmlformats.org/officeDocument/2006/relationships/footer" Target="/word/footer1.xml" Id="Rb760bb701d5249bf" /></Relationships>
</file>