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c0b22e38f42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5003</w:t>
      </w:r>
    </w:p>
    <w:p>
      <w:pPr>
        <w:jc w:val="center"/>
        <w:spacing w:before="480" w:after="0" w:line="240"/>
      </w:pPr>
      <w:r>
        <w:t xml:space="preserve">Chapter </w:t>
      </w:r>
      <w:r>
        <w:rPr/>
        <w:t xml:space="preserve">172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LIVING ORGAN DONORS—INSURANCE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Conway, Kuderer, Randall, Saldaña, Stanford,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living donor act; and adding a new section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all insurers, fraternal benefit societies, health carriers including disability insurers, health maintenance organizations, and health care service contractors, and limited health care service contractors may not:</w:t>
      </w:r>
    </w:p>
    <w:p>
      <w:pPr>
        <w:spacing w:before="0" w:after="0" w:line="408" w:lineRule="exact"/>
        <w:ind w:left="0" w:right="0" w:firstLine="576"/>
        <w:jc w:val="left"/>
      </w:pPr>
      <w:r>
        <w:rPr/>
        <w:t xml:space="preserve">(a) Decline or limit coverage of a person under a policy or contract solely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or continuing to receive a policy or contract; or</w:t>
      </w:r>
    </w:p>
    <w:p>
      <w:pPr>
        <w:spacing w:before="0" w:after="0" w:line="408" w:lineRule="exact"/>
        <w:ind w:left="0" w:right="0" w:firstLine="576"/>
        <w:jc w:val="left"/>
      </w:pPr>
      <w:r>
        <w:rPr/>
        <w:t xml:space="preserve">(c) Otherwise discriminate in the offering, issuance, cancellation, amount of coverage, price, or any other condition of a policy or contract for a person based solely and without any additional actuarial risks upon the status of the person as a living organ donor. Except as provided in RCW 48.43.0128, 48.44.220, or 48.46.370,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For purposes of this section, "living organ donor" means an individual who has donated all or part of an organ and is not deceased.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3e7ca6b8775543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69530b0dd44f84" /><Relationship Type="http://schemas.openxmlformats.org/officeDocument/2006/relationships/footer" Target="/word/footer1.xml" Id="R3e7ca6b8775543e1" /></Relationships>
</file>