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78a16e1c564c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5022</w:t>
      </w:r>
    </w:p>
    <w:p>
      <w:pPr>
        <w:jc w:val="center"/>
        <w:spacing w:before="480" w:after="0" w:line="240"/>
      </w:pPr>
      <w:r>
        <w:t xml:space="preserve">Chapter </w:t>
      </w:r>
      <w:r>
        <w:rPr/>
        <w:t xml:space="preserve">313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RECYCLING AND WASTE AND LITTER REDUCTION—VARIOUS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73</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17, 2021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Das, Rolfes, Carlyle, Dhingra, Keiser, Kuderer, Liias, Lovelett, Nobles, Nguyen, Pedersen, Saldaña, Salomon, Stanford,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solid waste through prohibitions on expanded polystyrene, providing for food serviceware upon customer request, and addressing plastic packaging; amending RCW 43.21B.300 and 70A.220.020; reenacting and amending RCW 43.21B.110; adding a new section to chapter 39.26 RCW; adding a new chapter to Title 70A RCW; creating a new section;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section 4 of this act.</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sections 4 through 7 and 12(1), (2), and (4) of this act,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or (6)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or (6)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(8) of this section to the pollution control hearings board within 30 days of the department's determination.</w:t>
      </w:r>
    </w:p>
    <w:p>
      <w:pPr>
        <w:spacing w:before="0" w:after="0" w:line="408" w:lineRule="exact"/>
        <w:ind w:left="0" w:right="0" w:firstLine="576"/>
        <w:jc w:val="left"/>
      </w:pPr>
      <w:r>
        <w:rPr/>
        <w:t xml:space="preserve">(8)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rPr/>
        <w:t xml:space="preserve">(9) A producer that does not achieve the postconsumer recycled content requirements established under this section is subject to penalties established in section 5 of this act.</w:t>
      </w:r>
    </w:p>
    <w:p>
      <w:pPr>
        <w:spacing w:before="0" w:after="0" w:line="408" w:lineRule="exact"/>
        <w:ind w:left="0" w:right="0" w:firstLine="576"/>
        <w:jc w:val="left"/>
      </w:pPr>
      <w:r>
        <w:rPr/>
        <w:t xml:space="preserve">(10)(a)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t xml:space="preserve">(12)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REPORTING REQUIREMENTS.</w:t>
      </w:r>
      <w:r>
        <w:t xml:space="preserve">  </w:t>
      </w:r>
      <w:r>
        <w:rPr/>
        <w:t xml:space="preserve">(1)(a)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t xml:space="preserve">(d)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POSTCONSUMER RECYCLED CONTENT REQUIREMENTS.</w:t>
      </w:r>
      <w:r>
        <w:t xml:space="preserve">  </w:t>
      </w:r>
      <w:r>
        <w:rPr/>
        <w:t xml:space="preserve">(1)(a) A producer that does not meet the minimum postconsumer recycled content requirements pursuant to section 3 of this act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section 3 of this act.</w:t>
      </w:r>
    </w:p>
    <w:p>
      <w:pPr>
        <w:spacing w:before="0" w:after="0" w:line="408" w:lineRule="exact"/>
        <w:ind w:left="0" w:right="0" w:firstLine="576"/>
        <w:jc w:val="left"/>
      </w:pPr>
      <w:r>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t xml:space="preserve">(5) A producer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(6) A producer may appeal the penalty assessed under this section to the pollution control hearings board within 30 days of assessment.</w:t>
      </w:r>
    </w:p>
    <w:p>
      <w:pPr>
        <w:spacing w:before="0" w:after="0" w:line="408" w:lineRule="exact"/>
        <w:ind w:left="0" w:right="0" w:firstLine="576"/>
        <w:jc w:val="left"/>
      </w:pPr>
      <w:r>
        <w:rPr/>
        <w:t xml:space="preserve">(7) Penalties collected under this section must be deposited in the recycling enhancement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REGISTRATION, LABELING, AND REPORTING.</w:t>
      </w:r>
      <w:r>
        <w:t xml:space="preserve">  </w:t>
      </w:r>
      <w:r>
        <w:rPr/>
        <w:t xml:space="preserve">(1) For producers out of compliance with the registration, reporting, or labeling requirements of section 3, 4, or 7 of this act, the department shall provide written notification and offer information to producers. For the purposes of this section, written notification serves as notice of the violation. The department must issue at least two notices of violation by certified mail prior to assessing a penalty under subsection (2) of this section.</w:t>
      </w:r>
    </w:p>
    <w:p>
      <w:pPr>
        <w:spacing w:before="0" w:after="0" w:line="408" w:lineRule="exact"/>
        <w:ind w:left="0" w:right="0" w:firstLine="576"/>
        <w:jc w:val="left"/>
      </w:pPr>
      <w:r>
        <w:rPr/>
        <w:t xml:space="preserve">(2) A producer in violation of the registration, reporting, or labeling requirements in section 3, 4, or 7 of this act is subject to a civil penalty for each day of violation in an amount not to exceed $1,000.</w:t>
      </w:r>
    </w:p>
    <w:p>
      <w:pPr>
        <w:spacing w:before="0" w:after="0" w:line="408" w:lineRule="exact"/>
        <w:ind w:left="0" w:right="0" w:firstLine="576"/>
        <w:jc w:val="left"/>
      </w:pPr>
      <w:r>
        <w:rPr/>
        <w:t xml:space="preserve">(3) Penalties collected under this section must be deposited in the recycling enhancement account created in section 13 of this act.</w:t>
      </w:r>
    </w:p>
    <w:p>
      <w:pPr>
        <w:spacing w:before="0" w:after="0" w:line="408" w:lineRule="exact"/>
        <w:ind w:left="0" w:right="0" w:firstLine="576"/>
        <w:jc w:val="left"/>
      </w:pPr>
      <w:r>
        <w:rPr/>
        <w:t xml:space="preserve">(4)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TRASH BAG LABELING REQUIREMENTS.</w:t>
      </w:r>
      <w:r>
        <w:t xml:space="preserve">  </w:t>
      </w: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BAGS—PURCHASING PRIORITY.</w:t>
      </w:r>
    </w:p>
    <w:p>
      <w:pPr>
        <w:spacing w:before="0" w:after="0" w:line="408" w:lineRule="exact"/>
        <w:ind w:left="0" w:right="0" w:firstLine="576"/>
        <w:jc w:val="left"/>
      </w:pPr>
      <w:r>
        <w:rPr/>
        <w:t xml:space="preserve">(1) Beginning July 1, 2024, all state agencies may only purchase plastic trash bags manufactured by producers that comply with the minimum recycled content requirements established in section 3 of this act.</w:t>
      </w:r>
    </w:p>
    <w:p>
      <w:pPr>
        <w:spacing w:before="0" w:after="0" w:line="408" w:lineRule="exact"/>
        <w:ind w:left="0" w:right="0" w:firstLine="576"/>
        <w:jc w:val="left"/>
      </w:pPr>
      <w:r>
        <w:rPr/>
        <w:t xml:space="preserve">(2) By July 1, 2024, the department of ecology shall provide to the department a list of the plastic trash bag producer brands that comply with the minimum recycled content requirements established in section 3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July 1, 2021, the departments of commerce and ecology shall jointly select an impartial, third-party facilitator to convene a stakeholder advisory committee housed within the recycling development center. The advisory committee shall make recommendations to the appropriate committees of the legislature on the development of mandatory postconsumer recycled content requirements for types of plastic packaging not subject to the minimum postconsumer recycled content requirements established in this act, and that are present in the municipal solid waste material stream or are regularly received by facilities that process recyclable materials from residential curbside recycling programs. The recommendations may include rates of mandatory postconsumer recycled content required by material type, target implementation dates, and potential exemptions or alternate compliance pathways for some materials.</w:t>
      </w:r>
    </w:p>
    <w:p>
      <w:pPr>
        <w:spacing w:before="0" w:after="0" w:line="408" w:lineRule="exact"/>
        <w:ind w:left="0" w:right="0" w:firstLine="576"/>
        <w:jc w:val="left"/>
      </w:pPr>
      <w:r>
        <w:rPr/>
        <w:t xml:space="preserve">(b) The facilitator must:</w:t>
      </w:r>
    </w:p>
    <w:p>
      <w:pPr>
        <w:spacing w:before="0" w:after="0" w:line="408" w:lineRule="exact"/>
        <w:ind w:left="0" w:right="0" w:firstLine="576"/>
        <w:jc w:val="left"/>
      </w:pPr>
      <w:r>
        <w:rPr/>
        <w:t xml:space="preserve">(i) Work with the recycling development center to subcontract for any relevant information regarding recycled plastic market conditions and barriers to the use of recycled content to provide to the stakeholder advisory committee to aid in the development of recommendations, to the extent practicable;</w:t>
      </w:r>
    </w:p>
    <w:p>
      <w:pPr>
        <w:spacing w:before="0" w:after="0" w:line="408" w:lineRule="exact"/>
        <w:ind w:left="0" w:right="0" w:firstLine="576"/>
        <w:jc w:val="left"/>
      </w:pPr>
      <w:r>
        <w:rPr/>
        <w:t xml:space="preserve">(ii) Provide staff and support to the stakeholder advisory committee meetings; and</w:t>
      </w:r>
    </w:p>
    <w:p>
      <w:pPr>
        <w:spacing w:before="0" w:after="0" w:line="408" w:lineRule="exact"/>
        <w:ind w:left="0" w:right="0" w:firstLine="576"/>
        <w:jc w:val="left"/>
      </w:pPr>
      <w:r>
        <w:rPr/>
        <w:t xml:space="preserve">(iii) Draft reports and other materials for review by the stakeholder advisory committee.</w:t>
      </w:r>
    </w:p>
    <w:p>
      <w:pPr>
        <w:spacing w:before="0" w:after="0" w:line="408" w:lineRule="exact"/>
        <w:ind w:left="0" w:right="0" w:firstLine="576"/>
        <w:jc w:val="left"/>
      </w:pPr>
      <w:r>
        <w:rPr/>
        <w:t xml:space="preserve">(2) The facilitator identified in subsection (1) of this section must be selected based on the following criteria:</w:t>
      </w:r>
    </w:p>
    <w:p>
      <w:pPr>
        <w:spacing w:before="0" w:after="0" w:line="408" w:lineRule="exact"/>
        <w:ind w:left="0" w:right="0" w:firstLine="576"/>
        <w:jc w:val="left"/>
      </w:pPr>
      <w:r>
        <w:rPr/>
        <w:t xml:space="preserve">(a) Impartiality regarding policy outcomes;</w:t>
      </w:r>
    </w:p>
    <w:p>
      <w:pPr>
        <w:spacing w:before="0" w:after="0" w:line="408" w:lineRule="exact"/>
        <w:ind w:left="0" w:right="0" w:firstLine="576"/>
        <w:jc w:val="left"/>
      </w:pPr>
      <w:r>
        <w:rPr/>
        <w:t xml:space="preserve">(b) Professional qualifications, relevant experience, and degrees; and</w:t>
      </w:r>
    </w:p>
    <w:p>
      <w:pPr>
        <w:spacing w:before="0" w:after="0" w:line="408" w:lineRule="exact"/>
        <w:ind w:left="0" w:right="0" w:firstLine="576"/>
        <w:jc w:val="left"/>
      </w:pPr>
      <w:r>
        <w:rPr/>
        <w:t xml:space="preserve">(c) The facilitator must be an environmental conflict resolution specialist recognized by a national center for environmental conflict resolution.</w:t>
      </w:r>
    </w:p>
    <w:p>
      <w:pPr>
        <w:spacing w:before="0" w:after="0" w:line="408" w:lineRule="exact"/>
        <w:ind w:left="0" w:right="0" w:firstLine="576"/>
        <w:jc w:val="left"/>
      </w:pPr>
      <w:r>
        <w:rPr/>
        <w:t xml:space="preserve">(3) By December 1, 2021, the facilitator shall submit a report to the legislature containing the recommendations of the stakeholder advisory committee after review and approval by the facilitator and committee.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(4)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(5) The facilitator shall select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(ee) A representative from a national consumer electronics association; and</w:t>
      </w:r>
    </w:p>
    <w:p>
      <w:pPr>
        <w:spacing w:before="0" w:after="0" w:line="408" w:lineRule="exact"/>
        <w:ind w:left="0" w:right="0" w:firstLine="576"/>
        <w:jc w:val="left"/>
      </w:pPr>
      <w:r>
        <w:rPr/>
        <w:t xml:space="preserve">(ff) A representative from the personal care products industry.</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0" w:after="0" w:line="408" w:lineRule="exact"/>
        <w:ind w:left="0" w:right="0" w:firstLine="576"/>
        <w:jc w:val="left"/>
      </w:pPr>
      <w:r>
        <w:rPr/>
        <w:t xml:space="preserve">(7)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(1)(a) Beginning June 1, 2024, the sale and distribution of the following expanded polystyrene products in or into Washington state is prohibited:</w:t>
      </w:r>
    </w:p>
    <w:p>
      <w:pPr>
        <w:spacing w:before="0" w:after="0" w:line="408" w:lineRule="exact"/>
        <w:ind w:left="0" w:right="0" w:firstLine="576"/>
        <w:jc w:val="left"/>
      </w:pPr>
      <w:r>
        <w:rPr/>
        <w:t xml:space="preserve">(i)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 and</w:t>
      </w:r>
    </w:p>
    <w:p>
      <w:pPr>
        <w:spacing w:before="0" w:after="0" w:line="408" w:lineRule="exact"/>
        <w:ind w:left="0" w:right="0" w:firstLine="576"/>
        <w:jc w:val="left"/>
      </w:pPr>
      <w:r>
        <w:rPr/>
        <w:t xml:space="preserve">(ii) Food service products that include food containers, plates, clam shell-style containers, and hot and cold beverage cups. For the purposes of this subsection (1)(a)(ii), food service products do not include: Packaging for raw, uncooked, or butchered meat, fish, poultry, or seafood, vegetables, fruit, or egg cartons.</w:t>
      </w:r>
    </w:p>
    <w:p>
      <w:pPr>
        <w:spacing w:before="0" w:after="0" w:line="408" w:lineRule="exact"/>
        <w:ind w:left="0" w:right="0" w:firstLine="576"/>
        <w:jc w:val="left"/>
      </w:pPr>
      <w:r>
        <w:rPr/>
        <w:t xml:space="preserve">(b) Beginning June 1, 2023, the sale and distribution of expanded polystyrene void filling packaging products, which means loose fill packaging material, also referred to as packing peanuts, in or into Washington state is prohibited.</w:t>
      </w:r>
    </w:p>
    <w:p>
      <w:pPr>
        <w:spacing w:before="0" w:after="0" w:line="408" w:lineRule="exact"/>
        <w:ind w:left="0" w:right="0" w:firstLine="576"/>
        <w:jc w:val="left"/>
      </w:pPr>
      <w:r>
        <w:rPr/>
        <w:t xml:space="preserve">(2)(a) The department must provide technical assistance and guidance to manufacturers of prohibited expanded polystyrene products, upon request.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prohibited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(b) of this subsection, a food service business may provide the following single use food service products only after affirming that the customer wants the item or items:</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A food service business may provide beverage cup lids without customer affirmation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 through or at large, permanent, venues that are designed for professional sport or music events and that have a fixed-seat capacity of at least 2,500 customers and are enclosed or are surrounded by a perimeter fence.</w:t>
      </w:r>
    </w:p>
    <w:p>
      <w:pPr>
        <w:spacing w:before="0" w:after="0" w:line="408" w:lineRule="exact"/>
        <w:ind w:left="0" w:right="0" w:firstLine="576"/>
        <w:jc w:val="left"/>
      </w:pPr>
      <w:r>
        <w:rPr/>
        <w:t xml:space="preserve">(c) The requirements of this section do not apply to food service products provided to a patient, resident, or customer in:</w:t>
      </w:r>
    </w:p>
    <w:p>
      <w:pPr>
        <w:spacing w:before="0" w:after="0" w:line="408" w:lineRule="exact"/>
        <w:ind w:left="0" w:right="0" w:firstLine="576"/>
        <w:jc w:val="left"/>
      </w:pPr>
      <w:r>
        <w:rPr/>
        <w:t xml:space="preserve">(i) A health care facility or a health care provider as defined in RCW 70.02.010;</w:t>
      </w:r>
    </w:p>
    <w:p>
      <w:pPr>
        <w:spacing w:before="0" w:after="0" w:line="408" w:lineRule="exact"/>
        <w:ind w:left="0" w:right="0" w:firstLine="576"/>
        <w:jc w:val="left"/>
      </w:pPr>
      <w:r>
        <w:rPr/>
        <w:t xml:space="preserve">(ii) Long-term care facilities identified in RCW 18.51.010, 18.20.020, 70.128.010, 70.97.010, or 18.390.010;</w:t>
      </w:r>
    </w:p>
    <w:p>
      <w:pPr>
        <w:spacing w:before="0" w:after="0" w:line="408" w:lineRule="exact"/>
        <w:ind w:left="0" w:right="0" w:firstLine="576"/>
        <w:jc w:val="left"/>
      </w:pPr>
      <w:r>
        <w:rPr/>
        <w:t xml:space="preserve">(iii) Senior nutrition programs authorized under 45 C.F.R. Sec. 1321, and home delivered meals offered under chapters 74.39 and 74.39A RCW;</w:t>
      </w:r>
    </w:p>
    <w:p>
      <w:pPr>
        <w:spacing w:before="0" w:after="0" w:line="408" w:lineRule="exact"/>
        <w:ind w:left="0" w:right="0" w:firstLine="576"/>
        <w:jc w:val="left"/>
      </w:pPr>
      <w:r>
        <w:rPr/>
        <w:t xml:space="preserve">(iv) Services to individuals with developmental disabilities under Title 71A RCW and chapter 74.39A RCW; and</w:t>
      </w:r>
    </w:p>
    <w:p>
      <w:pPr>
        <w:spacing w:before="0" w:after="0" w:line="408" w:lineRule="exact"/>
        <w:ind w:left="0" w:right="0" w:firstLine="576"/>
        <w:jc w:val="left"/>
      </w:pPr>
      <w:r>
        <w:rPr/>
        <w:t xml:space="preserve">(v) State hospitals as defined in RCW 72.23.010.</w:t>
      </w:r>
    </w:p>
    <w:p>
      <w:pPr>
        <w:spacing w:before="0" w:after="0" w:line="408" w:lineRule="exact"/>
        <w:ind w:left="0" w:right="0" w:firstLine="576"/>
        <w:jc w:val="left"/>
      </w:pPr>
      <w:r>
        <w:rPr/>
        <w:t xml:space="preserve">(d) The requirements of this subsection (1) apply to the activities of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(2)(a)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w:t>
      </w:r>
    </w:p>
    <w:p>
      <w:pPr>
        <w:spacing w:before="0" w:after="0" w:line="408" w:lineRule="exact"/>
        <w:ind w:left="0" w:right="0" w:firstLine="576"/>
        <w:jc w:val="left"/>
      </w:pPr>
      <w:r>
        <w:rPr/>
        <w:t xml:space="preserve">(b)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All food service businesses are encouraged, but not required, to take actions in addition to the requirements of this section that support a goal of reducing the use of and waste generated by single-use food service products.</w:t>
      </w:r>
    </w:p>
    <w:p>
      <w:pPr>
        <w:spacing w:before="0" w:after="0" w:line="408" w:lineRule="exact"/>
        <w:ind w:left="0" w:right="0" w:firstLine="576"/>
        <w:jc w:val="left"/>
      </w:pPr>
      <w:r>
        <w:rPr/>
        <w:t xml:space="preserve">(5) Beginning July 1, 2021, a city, town, county, or municipal corporation may not enact an ordinance to reduce pollution from single-use food service products by requiring affirmation that a customer wants single-use food service products from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and 5 of this act based on the information reported under section 4 of this act.</w:t>
      </w:r>
    </w:p>
    <w:p>
      <w:pPr>
        <w:spacing w:before="0" w:after="0" w:line="408" w:lineRule="exact"/>
        <w:ind w:left="0" w:right="0" w:firstLine="576"/>
        <w:jc w:val="left"/>
      </w:pPr>
      <w:r>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sections 10 and 11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10 of this act and restrictions on the provision of optional serviceware under section 11 of this act;</w:t>
      </w:r>
    </w:p>
    <w:p>
      <w:pPr>
        <w:spacing w:before="0" w:after="0" w:line="408" w:lineRule="exact"/>
        <w:ind w:left="0" w:right="0" w:firstLine="576"/>
        <w:jc w:val="left"/>
      </w:pPr>
      <w:r>
        <w:rPr/>
        <w:t xml:space="preserve">(b) For education and outreach to help implement sections 10 and 11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and 6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7 and 12(1), (2),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sections 3 and 4 of this act;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5, 6, 10, and 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 3 of this act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5, 6, 10, and 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w:t>
      </w:r>
      <w:r>
        <w:rPr>
          <w:u w:val="single"/>
        </w:rPr>
        <w:t xml:space="preserve">sections 5 and 6 of this act, which shall be credited to the recycling enhancement account created in section 13 of this act,</w:t>
      </w:r>
      <w:r>
        <w:rPr/>
        <w:t xml:space="preserve">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9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17,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4aea5720aad44e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df948b9b94853" /><Relationship Type="http://schemas.openxmlformats.org/officeDocument/2006/relationships/footer" Target="/word/footer1.xml" Id="R4aea5720aad44e6a" /></Relationships>
</file>