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6b22111944b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5024</w:t>
      </w:r>
    </w:p>
    <w:p>
      <w:pPr>
        <w:jc w:val="center"/>
        <w:spacing w:before="480" w:after="0" w:line="240"/>
      </w:pPr>
      <w:r>
        <w:t xml:space="preserve">Chapter </w:t>
      </w:r>
      <w:r>
        <w:rPr/>
        <w:t xml:space="preserve">260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CONDOMINIUM CONSTRUCTION—VARIOUS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Gildon, Holy, Mullet, Short, and Van De Wege)</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condominium construction; and amending RCW 64.55.040 and 64.90.645.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040</w:t>
      </w:r>
      <w:r>
        <w:rPr/>
        <w:t xml:space="preserve"> and 2005 c 456 s 5 are each amended to read as follows:</w:t>
      </w:r>
    </w:p>
    <w:p>
      <w:pPr>
        <w:spacing w:before="0" w:after="0" w:line="408" w:lineRule="exact"/>
        <w:ind w:left="0" w:right="0" w:firstLine="576"/>
        <w:jc w:val="left"/>
      </w:pPr>
      <w:r>
        <w:rPr/>
        <w:t xml:space="preserve">(1) A qualified building enclosure inspector:</w:t>
      </w:r>
    </w:p>
    <w:p>
      <w:pPr>
        <w:spacing w:before="0" w:after="0" w:line="408" w:lineRule="exact"/>
        <w:ind w:left="0" w:right="0" w:firstLine="576"/>
        <w:jc w:val="left"/>
      </w:pPr>
      <w:r>
        <w:rPr/>
        <w:t xml:space="preserve">(a) Must be </w:t>
      </w:r>
      <w:r>
        <w:t>((</w:t>
      </w:r>
      <w:r>
        <w:rPr>
          <w:strike/>
        </w:rPr>
        <w:t xml:space="preserve">a</w:t>
      </w:r>
      <w:r>
        <w:t>))</w:t>
      </w:r>
      <w:r>
        <w:rPr/>
        <w:t xml:space="preserve"> </w:t>
      </w:r>
      <w:r>
        <w:rPr>
          <w:u w:val="single"/>
        </w:rPr>
        <w:t xml:space="preserve">the architect or engineer of record or another</w:t>
      </w:r>
      <w:r>
        <w:rPr/>
        <w:t xml:space="preserve"> person with substantial and verifiable training and experience in building enclosure design and construction;</w:t>
      </w:r>
    </w:p>
    <w:p>
      <w:pPr>
        <w:spacing w:before="0" w:after="0" w:line="408" w:lineRule="exact"/>
        <w:ind w:left="0" w:right="0" w:firstLine="576"/>
        <w:jc w:val="left"/>
      </w:pPr>
      <w:r>
        <w:rPr/>
        <w:t xml:space="preserve">(b) Shall be free from improper interference or influence relating to the inspections; and</w:t>
      </w:r>
    </w:p>
    <w:p>
      <w:pPr>
        <w:spacing w:before="0" w:after="0" w:line="408" w:lineRule="exact"/>
        <w:ind w:left="0" w:right="0" w:firstLine="576"/>
        <w:jc w:val="left"/>
      </w:pPr>
      <w:r>
        <w:rPr/>
        <w:t xml:space="preserve">(c) May not be an employee, officer, or director of, nor have any pecuniary interest in, the declarant, developer, association, or any party providing services or materials for the project, or any of their respective affiliates, except that the qualified inspector may be the architect or engineer who approved the building enclosure design documents or the architect or engineer of record. The qualified inspector may, but is not required to, assist with the preparation of such design documents.</w:t>
      </w:r>
    </w:p>
    <w:p>
      <w:pPr>
        <w:spacing w:before="0" w:after="0" w:line="408" w:lineRule="exact"/>
        <w:ind w:left="0" w:right="0" w:firstLine="576"/>
        <w:jc w:val="left"/>
      </w:pPr>
      <w:r>
        <w:rPr/>
        <w:t xml:space="preserve">(2) Nothing in this section alters requirements for licensure of any architect, engineer, or other professional, or alters the jurisdiction, authority, or scope of practice of architects, engineers, other professionals, or general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2018 c 277 s 410 are each amended to read as follows:</w:t>
      </w:r>
    </w:p>
    <w:p>
      <w:pPr>
        <w:spacing w:before="0" w:after="0" w:line="408" w:lineRule="exact"/>
        <w:ind w:left="0" w:right="0" w:firstLine="576"/>
        <w:jc w:val="left"/>
      </w:pPr>
      <w:r>
        <w:t>((</w:t>
      </w:r>
      <w:r>
        <w:rPr>
          <w:strike/>
        </w:rPr>
        <w:t xml:space="preserve">Any earnest money deposit, as defined in RCW 64.04.005, or any reservation</w:t>
      </w:r>
      <w:r>
        <w:t>))</w:t>
      </w:r>
      <w:r>
        <w:rPr/>
        <w:t xml:space="preserve"> </w:t>
      </w:r>
      <w:r>
        <w:rPr>
          <w:u w:val="single"/>
        </w:rPr>
        <w:t xml:space="preserve">(1) Except as provided in subsection (2) of this section, any</w:t>
      </w:r>
      <w:r>
        <w:rPr/>
        <w:t xml:space="preserve"> deposit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w:t>
      </w:r>
      <w:r>
        <w:t>((</w:t>
      </w:r>
      <w:r>
        <w:rPr>
          <w:strike/>
        </w:rPr>
        <w:t xml:space="preserve">(1)</w:t>
      </w:r>
      <w:r>
        <w:t>))</w:t>
      </w:r>
      <w:r>
        <w:rPr/>
        <w:t xml:space="preserve"> </w:t>
      </w:r>
      <w:r>
        <w:rPr>
          <w:u w:val="single"/>
        </w:rPr>
        <w:t xml:space="preserve">(a)</w:t>
      </w:r>
      <w:r>
        <w:rPr/>
        <w:t xml:space="preserve"> Delivered to the declarant at closing, </w:t>
      </w:r>
      <w:r>
        <w:t>((</w:t>
      </w:r>
      <w:r>
        <w:rPr>
          <w:strike/>
        </w:rPr>
        <w:t xml:space="preserve">(2)</w:t>
      </w:r>
      <w:r>
        <w:t>))</w:t>
      </w:r>
      <w:r>
        <w:rPr/>
        <w:t xml:space="preserve"> </w:t>
      </w:r>
      <w:r>
        <w:rPr>
          <w:u w:val="single"/>
        </w:rPr>
        <w:t xml:space="preserve">(b)</w:t>
      </w:r>
      <w:r>
        <w:rPr/>
        <w:t xml:space="preserve"> delivered to the declarant because of the purchaser's default under a contract to purchase the unit, </w:t>
      </w:r>
      <w:r>
        <w:t>((</w:t>
      </w:r>
      <w:r>
        <w:rPr>
          <w:strike/>
        </w:rPr>
        <w:t xml:space="preserve">(3)</w:t>
      </w:r>
      <w:r>
        <w:t>))</w:t>
      </w:r>
      <w:r>
        <w:rPr/>
        <w:t xml:space="preserve"> </w:t>
      </w:r>
      <w:r>
        <w:rPr>
          <w:u w:val="single"/>
        </w:rPr>
        <w:t xml:space="preserve">(c)</w:t>
      </w:r>
      <w:r>
        <w:rPr/>
        <w:t xml:space="preserve"> refunded to the purchaser, or </w:t>
      </w:r>
      <w:r>
        <w:t>((</w:t>
      </w:r>
      <w:r>
        <w:rPr>
          <w:strike/>
        </w:rPr>
        <w:t xml:space="preserve">(4)</w:t>
      </w:r>
      <w:r>
        <w:t>))</w:t>
      </w:r>
      <w:r>
        <w:rPr/>
        <w:t xml:space="preserve"> </w:t>
      </w:r>
      <w:r>
        <w:rPr>
          <w:u w:val="single"/>
        </w:rPr>
        <w:t xml:space="preserve">(d)</w:t>
      </w:r>
      <w:r>
        <w:rPr/>
        <w:t xml:space="preserve"> delivered to a court in connection with the filing of an interpleader action.</w:t>
      </w:r>
    </w:p>
    <w:p>
      <w:pPr>
        <w:spacing w:before="0" w:after="0" w:line="408" w:lineRule="exact"/>
        <w:ind w:left="0" w:right="0" w:firstLine="576"/>
        <w:jc w:val="left"/>
      </w:pPr>
      <w:r>
        <w:rPr>
          <w:u w:val="single"/>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u w:val="single"/>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u w:val="single"/>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u w:val="single"/>
        </w:rPr>
        <w:t xml:space="preserve">(3) A deposit under this section may not exceed five percent of the purchase price.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eb764ff4059a4c0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6f50e742c422d" /><Relationship Type="http://schemas.openxmlformats.org/officeDocument/2006/relationships/footer" Target="/word/footer1.xml" Id="Reb764ff4059a4c03" /></Relationships>
</file>