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c484230664b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5046</w:t>
      </w:r>
    </w:p>
    <w:p>
      <w:pPr>
        <w:jc w:val="center"/>
        <w:spacing w:before="480" w:after="0" w:line="240"/>
      </w:pPr>
      <w:r>
        <w:t xml:space="preserve">Chapter </w:t>
      </w:r>
      <w:r>
        <w:rPr/>
        <w:t xml:space="preserve">89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WORKERS' COMPENSATION CLAIM RESOLUTION SETTLEMENT AGREEMENTS—VARIOUS PROVISIONS</w:t>
      </w:r>
    </w:p>
    <w:p>
      <w:pPr>
        <w:spacing w:before="720" w:after="240" w:line="240" w:lineRule="exact"/>
        <w:ind w:left="0" w:right="0" w:firstLine="0"/>
        <w:jc w:val="center"/>
      </w:pPr>
      <w:r>
        <w:t xml:space="preserve">EFFECTIVE DATE: </w:t>
      </w:r>
      <w:r>
        <w:rPr/>
        <w:t xml:space="preserve">April 16,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5046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Conway, Keiser, and King</w:t>
      </w:r>
    </w:p>
    <w:p/>
    <w:p>
      <w:r>
        <w:rPr>
          <w:t xml:space="preserve">Prefiled 12/30/20.</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claim resolution settlement agreements; amending RCW 51.04.062, 51.04.063, 51.04.065, 51.04.069, and 51.52.120; reenacting and amending RCW 42.56.230;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Upon request by the legislature, the department of licensing shall provide a report to the legislature containing all of the information in (c) of this subsection (7) and this subsection (7)(d) that is subject to public disclosure</w:t>
      </w:r>
      <w:r>
        <w:rPr/>
        <w:t xml:space="preserve">;</w:t>
      </w:r>
    </w:p>
    <w:p>
      <w:pPr>
        <w:spacing w:before="0" w:after="0" w:line="408" w:lineRule="exact"/>
        <w:ind w:left="0" w:right="0" w:firstLine="576"/>
        <w:jc w:val="left"/>
      </w:pPr>
      <w:r>
        <w:rPr/>
        <w:t xml:space="preserve">(8)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under RCW 51.04.063, other than final orders from the board of industrial insurance appeals. </w:t>
      </w:r>
      <w:r>
        <w:rPr>
          <w:u w:val="single"/>
        </w:rPr>
        <w:t xml:space="preserve">The board of industrial insurance appeals shall provide to the department of labor and industries copies of all final claim resolution settlement agreements;</w:t>
      </w:r>
    </w:p>
    <w:p>
      <w:pPr>
        <w:spacing w:before="0" w:after="0" w:line="408" w:lineRule="exact"/>
        <w:ind w:left="0" w:right="0" w:firstLine="576"/>
        <w:jc w:val="left"/>
      </w:pPr>
      <w:r>
        <w:t>((</w:t>
      </w:r>
      <w:r>
        <w:rPr>
          <w:strike/>
        </w:rPr>
        <w:t xml:space="preserve">Upon request by the legislature, the department of licensing shall provide a report to the legislature containing all of the information in subsection (7)(c) and (d) of this section that is subject to public disclosure;</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062</w:t>
      </w:r>
      <w:r>
        <w:rPr/>
        <w:t xml:space="preserve"> and 2011 1st sp.s. c 37 s 301 are each amended to read as follows:</w:t>
      </w:r>
    </w:p>
    <w:p>
      <w:pPr>
        <w:spacing w:before="0" w:after="0" w:line="408" w:lineRule="exact"/>
        <w:ind w:left="0" w:right="0" w:firstLine="576"/>
        <w:jc w:val="left"/>
      </w:pPr>
      <w:r>
        <w:rPr/>
        <w:t xml:space="preserve">The legislature finds that Washington state's workers' compensation system should be designed to focus on achieving the best outcomes for injured workers. Further, the legislature recognizes that controlling pension costs is key to a financially sound workers' compensation system for employers and workers. To these ends, the legislature recognizes that certain workers would benefit from an option that allows them to initiate claim resolution </w:t>
      </w:r>
      <w:r>
        <w:t>((</w:t>
      </w:r>
      <w:r>
        <w:rPr>
          <w:strike/>
        </w:rPr>
        <w:t xml:space="preserve">structured</w:t>
      </w:r>
      <w:r>
        <w:t>))</w:t>
      </w:r>
      <w:r>
        <w:rPr/>
        <w:t xml:space="preserve"> settlements in order to pursue work or retirement goals independent of the system, provided that sufficient protections for injured workers are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 years of age on or after January 1, 2012, fifty-three years of age on or after January 1, 2015, or</w:t>
      </w:r>
      <w:r>
        <w:t>))</w:t>
      </w:r>
      <w:r>
        <w:rPr/>
        <w:t xml:space="preserve"> fifty years of age </w:t>
      </w:r>
      <w:r>
        <w:t>((</w:t>
      </w:r>
      <w:r>
        <w:rPr>
          <w:strike/>
        </w:rPr>
        <w:t xml:space="preserve">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w:t>
      </w:r>
      <w:r>
        <w:t>((</w:t>
      </w:r>
      <w:r>
        <w:rPr>
          <w:strike/>
        </w:rPr>
        <w:t xml:space="preserve">structured</w:t>
      </w:r>
      <w:r>
        <w:t>))</w:t>
      </w:r>
      <w:r>
        <w:rPr/>
        <w:t xml:space="preserve"> </w:t>
      </w:r>
      <w:r>
        <w:rPr>
          <w:u w:val="single"/>
        </w:rPr>
        <w:t xml:space="preserve">claim resolution</w:t>
      </w:r>
      <w:r>
        <w:rPr/>
        <w:t xml:space="preserve"> settlement.</w:t>
      </w:r>
    </w:p>
    <w:p>
      <w:pPr>
        <w:spacing w:before="0" w:after="0" w:line="408" w:lineRule="exact"/>
        <w:ind w:left="0" w:right="0" w:firstLine="576"/>
        <w:jc w:val="left"/>
      </w:pPr>
      <w:r>
        <w:rPr/>
        <w:t xml:space="preserve">(2)(a) As provided in this section, the parties to an allowed claim may initiate and agree to resolve a claim with a </w:t>
      </w:r>
      <w:r>
        <w:t>((</w:t>
      </w:r>
      <w:r>
        <w:rPr>
          <w:strike/>
        </w:rPr>
        <w:t xml:space="preserve">structured</w:t>
      </w:r>
      <w:r>
        <w:t>))</w:t>
      </w:r>
      <w:r>
        <w:rPr/>
        <w:t xml:space="preserve"> </w:t>
      </w:r>
      <w:r>
        <w:rPr>
          <w:u w:val="single"/>
        </w:rPr>
        <w:t xml:space="preserve">claim resolution</w:t>
      </w:r>
      <w:r>
        <w:rPr/>
        <w:t xml:space="preserve"> settlement for all benefits other than medical. Parties as defined in (b) of this subsection may only initiate claim resolution </w:t>
      </w:r>
      <w:r>
        <w:t>((</w:t>
      </w:r>
      <w:r>
        <w:rPr>
          <w:strike/>
        </w:rPr>
        <w:t xml:space="preserve">structured</w:t>
      </w:r>
      <w:r>
        <w:t>))</w:t>
      </w:r>
      <w:r>
        <w:rPr/>
        <w:t xml:space="preserve">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w:t>
      </w:r>
      <w:r>
        <w:t>((</w:t>
      </w:r>
      <w:r>
        <w:rPr>
          <w:strike/>
        </w:rPr>
        <w:t xml:space="preserve">structured</w:t>
      </w:r>
      <w:r>
        <w:t>))</w:t>
      </w:r>
      <w:r>
        <w:rPr/>
        <w:t xml:space="preserve">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w:t>
      </w:r>
      <w:r>
        <w:t>((</w:t>
      </w:r>
      <w:r>
        <w:rPr>
          <w:strike/>
        </w:rPr>
        <w:t xml:space="preserve">structured</w:t>
      </w:r>
      <w:r>
        <w:t>))</w:t>
      </w:r>
      <w:r>
        <w:rPr/>
        <w:t xml:space="preserve"> settlement agreements shall:</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w:t>
      </w:r>
      <w:r>
        <w:t>((</w:t>
      </w:r>
      <w:r>
        <w:rPr>
          <w:strike/>
        </w:rPr>
        <w:t xml:space="preserve">Provide</w:t>
      </w:r>
      <w:r>
        <w:t>))</w:t>
      </w:r>
      <w:r>
        <w:rPr/>
        <w:t xml:space="preserve"> </w:t>
      </w:r>
      <w:r>
        <w:rPr>
          <w:u w:val="single"/>
        </w:rPr>
        <w:t xml:space="preserve">At the option of the parties, either be paid out in a single lump sum or be paid on a structured basis. If the parties opt to have the settlement paid based on a structured basis, the agreement shall provide</w:t>
      </w:r>
      <w:r>
        <w:rPr/>
        <w:t xml:space="preserv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shall negotiate the claim resolution </w:t>
      </w:r>
      <w:r>
        <w:t>((</w:t>
      </w:r>
      <w:r>
        <w:rPr>
          <w:strike/>
        </w:rPr>
        <w:t xml:space="preserve">structured</w:t>
      </w:r>
      <w:r>
        <w:t>))</w:t>
      </w:r>
      <w:r>
        <w:rPr/>
        <w:t xml:space="preserve">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shall remain open for future necessary medical or surgical treatment related to the injury where there is a reasonable expectation such treatment is necessary. The parties may also agree that specific future treatment shall be provided without the application required in RCW 51.32.160.</w:t>
      </w:r>
    </w:p>
    <w:p>
      <w:pPr>
        <w:spacing w:before="0" w:after="0" w:line="408" w:lineRule="exact"/>
        <w:ind w:left="0" w:right="0" w:firstLine="576"/>
        <w:jc w:val="left"/>
      </w:pPr>
      <w:r>
        <w:rPr/>
        <w:t xml:space="preserve">(g) Any claim resolution </w:t>
      </w:r>
      <w:r>
        <w:t>((</w:t>
      </w:r>
      <w:r>
        <w:rPr>
          <w:strike/>
        </w:rPr>
        <w:t xml:space="preserve">structured</w:t>
      </w:r>
      <w:r>
        <w:t>))</w:t>
      </w:r>
      <w:r>
        <w:rPr/>
        <w:t xml:space="preserve">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w:t>
      </w:r>
      <w:r>
        <w:t>((</w:t>
      </w:r>
      <w:r>
        <w:rPr>
          <w:strike/>
        </w:rPr>
        <w:t xml:space="preserve">structured</w:t>
      </w:r>
      <w:r>
        <w:t>))</w:t>
      </w:r>
      <w:r>
        <w:rPr/>
        <w:t xml:space="preserve">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w:t>
      </w:r>
      <w:r>
        <w:t>((</w:t>
      </w:r>
      <w:r>
        <w:rPr>
          <w:strike/>
        </w:rPr>
        <w:t xml:space="preserve">structured</w:t>
      </w:r>
      <w:r>
        <w:t>))</w:t>
      </w:r>
      <w:r>
        <w:rPr/>
        <w:t xml:space="preserve">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w:t>
      </w:r>
      <w:r>
        <w:t>((</w:t>
      </w:r>
      <w:r>
        <w:rPr>
          <w:strike/>
        </w:rPr>
        <w:t xml:space="preserve">structured</w:t>
      </w:r>
      <w:r>
        <w:t>))</w:t>
      </w:r>
      <w:r>
        <w:rPr/>
        <w:t xml:space="preserve"> settlement agreement only if the judge finds that the agreement is in the best interest of the worker. When determining whether the agreement is in the best interest of the worker, the industrial appeals judge shall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w:t>
      </w:r>
      <w:r>
        <w:t>((</w:t>
      </w:r>
      <w:r>
        <w:rPr>
          <w:strike/>
        </w:rPr>
        <w:t xml:space="preserve">structured</w:t>
      </w:r>
      <w:r>
        <w:t>))</w:t>
      </w:r>
      <w:r>
        <w:rPr/>
        <w:t xml:space="preserve">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shall issue an order allowing or rejecting the claim resolution </w:t>
      </w:r>
      <w:r>
        <w:t>((</w:t>
      </w:r>
      <w:r>
        <w:rPr>
          <w:strike/>
        </w:rPr>
        <w:t xml:space="preserve">structured</w:t>
      </w:r>
      <w:r>
        <w:t>))</w:t>
      </w:r>
      <w:r>
        <w:rPr/>
        <w:t xml:space="preserve">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w:t>
      </w:r>
      <w:r>
        <w:t>((</w:t>
      </w:r>
      <w:r>
        <w:rPr>
          <w:strike/>
        </w:rPr>
        <w:t xml:space="preserve">structured</w:t>
      </w:r>
      <w:r>
        <w:t>))</w:t>
      </w:r>
      <w:r>
        <w:rPr/>
        <w:t xml:space="preserve"> settlement agreement, the order must be submitted to the board.</w:t>
      </w:r>
    </w:p>
    <w:p>
      <w:pPr>
        <w:spacing w:before="0" w:after="0" w:line="408" w:lineRule="exact"/>
        <w:ind w:left="0" w:right="0" w:firstLine="576"/>
        <w:jc w:val="left"/>
      </w:pPr>
      <w:r>
        <w:rPr/>
        <w:t xml:space="preserve">(3) Upon receiving the agreement, the board shall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w:t>
      </w:r>
      <w:r>
        <w:t>((</w:t>
      </w:r>
      <w:r>
        <w:rPr>
          <w:strike/>
        </w:rPr>
        <w:t xml:space="preserve">structured</w:t>
      </w:r>
      <w:r>
        <w:t>))</w:t>
      </w:r>
      <w:r>
        <w:rPr/>
        <w:t xml:space="preserve">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w:t>
      </w:r>
      <w:r>
        <w:t>((</w:t>
      </w:r>
      <w:r>
        <w:rPr>
          <w:strike/>
        </w:rPr>
        <w:t xml:space="preserve">structured</w:t>
      </w:r>
      <w:r>
        <w:t>))</w:t>
      </w:r>
      <w:r>
        <w:rPr/>
        <w:t xml:space="preserve"> settlement agreement, the parties shall submit the agreement directly to the board without the conference described in this section.</w:t>
      </w:r>
    </w:p>
    <w:p>
      <w:pPr>
        <w:spacing w:before="0" w:after="0" w:line="408" w:lineRule="exact"/>
        <w:ind w:left="0" w:right="0" w:firstLine="576"/>
        <w:jc w:val="left"/>
      </w:pPr>
      <w:r>
        <w:rPr/>
        <w:t xml:space="preserve">(5) If the board approves the agreement, it shall provide notice to all parties. The department shall place the agreement in the applicable claim file or files.</w:t>
      </w:r>
    </w:p>
    <w:p>
      <w:pPr>
        <w:spacing w:before="0" w:after="0" w:line="408" w:lineRule="exact"/>
        <w:ind w:left="0" w:right="0" w:firstLine="576"/>
        <w:jc w:val="left"/>
      </w:pPr>
      <w:r>
        <w:rPr/>
        <w:t xml:space="preserve">(6) A party may revoke consent to the claim resolution </w:t>
      </w:r>
      <w:r>
        <w:t>((</w:t>
      </w:r>
      <w:r>
        <w:rPr>
          <w:strike/>
        </w:rPr>
        <w:t xml:space="preserve">structured</w:t>
      </w:r>
      <w:r>
        <w:t>))</w:t>
      </w:r>
      <w:r>
        <w:rPr/>
        <w:t xml:space="preserve">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w:t>
      </w:r>
      <w:r>
        <w:t>((</w:t>
      </w:r>
      <w:r>
        <w:rPr>
          <w:strike/>
        </w:rPr>
        <w:t xml:space="preserve">structured</w:t>
      </w:r>
      <w:r>
        <w:t>))</w:t>
      </w:r>
      <w:r>
        <w:rPr/>
        <w:t xml:space="preserve">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w:t>
      </w:r>
      <w:r>
        <w:t>((</w:t>
      </w:r>
      <w:r>
        <w:rPr>
          <w:strike/>
        </w:rPr>
        <w:t xml:space="preserve">structured</w:t>
      </w:r>
      <w:r>
        <w:t>))</w:t>
      </w:r>
      <w:r>
        <w:rPr/>
        <w:t xml:space="preserve">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w:t>
      </w:r>
      <w:r>
        <w:t>((</w:t>
      </w:r>
      <w:r>
        <w:rPr>
          <w:strike/>
        </w:rPr>
        <w:t xml:space="preserve">structured</w:t>
      </w:r>
      <w:r>
        <w:t>))</w:t>
      </w:r>
      <w:r>
        <w:rPr/>
        <w:t xml:space="preserve">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w:t>
      </w:r>
      <w:r>
        <w:t>((</w:t>
      </w:r>
      <w:r>
        <w:rPr>
          <w:strike/>
        </w:rPr>
        <w:t xml:space="preserve">structured</w:t>
      </w:r>
      <w:r>
        <w:t>))</w:t>
      </w:r>
      <w:r>
        <w:rPr/>
        <w:t xml:space="preserve"> settlement agreement must be reported to the department as claims costs pursuant to this title. If a self-insured employer contracts with a third-party administrator for claim services and the payment of benefits under this title, the third-party administrator shall also disburse the </w:t>
      </w:r>
      <w:r>
        <w:t>((</w:t>
      </w:r>
      <w:r>
        <w:rPr>
          <w:strike/>
        </w:rPr>
        <w:t xml:space="preserve">structured</w:t>
      </w:r>
      <w:r>
        <w:t>))</w:t>
      </w:r>
      <w:r>
        <w:rPr/>
        <w:t xml:space="preserve"> </w:t>
      </w:r>
      <w:r>
        <w:rPr>
          <w:u w:val="single"/>
        </w:rPr>
        <w:t xml:space="preserve">claim resolution</w:t>
      </w:r>
      <w:r>
        <w:rPr/>
        <w:t xml:space="preserve"> settlement payments pursuant to the agreement.</w:t>
      </w:r>
    </w:p>
    <w:p>
      <w:pPr>
        <w:spacing w:before="0" w:after="0" w:line="408" w:lineRule="exact"/>
        <w:ind w:left="0" w:right="0" w:firstLine="576"/>
        <w:jc w:val="left"/>
      </w:pPr>
      <w:r>
        <w:rPr/>
        <w:t xml:space="preserve">(10) Claims closed pursuant to a claim resolution </w:t>
      </w:r>
      <w:r>
        <w:t>((</w:t>
      </w:r>
      <w:r>
        <w:rPr>
          <w:strike/>
        </w:rPr>
        <w:t xml:space="preserve">structured</w:t>
      </w:r>
      <w:r>
        <w:t>))</w:t>
      </w:r>
      <w:r>
        <w:rPr/>
        <w:t xml:space="preserve"> settlement agreement can be reopened pursuant to RCW 51.32.160 for medical treatment only. Further temporary total, temporary partial, permanent partial, or permanent total benefits are not payable under the same claim or claims for which a claim resolution </w:t>
      </w:r>
      <w:r>
        <w:t>((</w:t>
      </w:r>
      <w:r>
        <w:rPr>
          <w:strike/>
        </w:rPr>
        <w:t xml:space="preserve">structured</w:t>
      </w:r>
      <w:r>
        <w:t>))</w:t>
      </w:r>
      <w:r>
        <w:rPr/>
        <w:t xml:space="preserve">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w:t>
      </w:r>
      <w:r>
        <w:t>((</w:t>
      </w:r>
      <w:r>
        <w:rPr>
          <w:strike/>
        </w:rPr>
        <w:t xml:space="preserve">structured</w:t>
      </w:r>
      <w:r>
        <w:t>))</w:t>
      </w:r>
      <w:r>
        <w:rPr/>
        <w:t xml:space="preserve">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w:t>
      </w:r>
      <w:r>
        <w:t>((</w:t>
      </w:r>
      <w:r>
        <w:rPr>
          <w:strike/>
        </w:rPr>
        <w:t xml:space="preserve">structured</w:t>
      </w:r>
      <w:r>
        <w:t>))</w:t>
      </w:r>
      <w:r>
        <w:rPr/>
        <w:t xml:space="preserve"> settlement agreements.</w:t>
      </w:r>
    </w:p>
    <w:p>
      <w:pPr>
        <w:spacing w:before="0" w:after="0" w:line="408" w:lineRule="exact"/>
        <w:ind w:left="0" w:right="0" w:firstLine="576"/>
        <w:jc w:val="left"/>
      </w:pPr>
      <w:r>
        <w:rPr/>
        <w:t xml:space="preserve">(12) Parties and their representatives may not use settlement offers or the claim resolution </w:t>
      </w:r>
      <w:r>
        <w:t>((</w:t>
      </w:r>
      <w:r>
        <w:rPr>
          <w:strike/>
        </w:rPr>
        <w:t xml:space="preserve">structured</w:t>
      </w:r>
      <w:r>
        <w:t>))</w:t>
      </w:r>
      <w:r>
        <w:rPr/>
        <w:t xml:space="preserve">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w:t>
      </w:r>
      <w:r>
        <w:t>((</w:t>
      </w:r>
      <w:r>
        <w:rPr>
          <w:strike/>
        </w:rPr>
        <w:t xml:space="preserve">s</w:t>
      </w:r>
      <w:r>
        <w:t>))</w:t>
      </w:r>
      <w:r>
        <w:rPr/>
        <w:t xml:space="preserve"> resolution </w:t>
      </w:r>
      <w:r>
        <w:t>((</w:t>
      </w:r>
      <w:r>
        <w:rPr>
          <w:strike/>
        </w:rPr>
        <w:t xml:space="preserve">structured</w:t>
      </w:r>
      <w:r>
        <w:t>))</w:t>
      </w:r>
      <w:r>
        <w:rPr/>
        <w:t xml:space="preserve"> settlement agreements submitted to the board of industrial insurance appeals, other than final orders from the board of industrial insurance appeals, is private and exempt from disclosure under chapter 42.56 RCW. </w:t>
      </w:r>
      <w:r>
        <w:rPr>
          <w:u w:val="single"/>
        </w:rPr>
        <w:t xml:space="preserve">The board of industrial insurance appeals shall provide to the department copies of all final claim resolution settlement agreements.</w:t>
      </w:r>
    </w:p>
    <w:p>
      <w:pPr>
        <w:spacing w:before="0" w:after="0" w:line="408" w:lineRule="exact"/>
        <w:ind w:left="0" w:right="0" w:firstLine="576"/>
        <w:jc w:val="left"/>
      </w:pPr>
      <w:r>
        <w:rPr/>
        <w:t xml:space="preserve">(14) Information gathered during the claim</w:t>
      </w:r>
      <w:r>
        <w:t>((</w:t>
      </w:r>
      <w:r>
        <w:rPr>
          <w:strike/>
        </w:rPr>
        <w:t xml:space="preserve">s</w:t>
      </w:r>
      <w:r>
        <w:t>))</w:t>
      </w:r>
      <w:r>
        <w:rPr/>
        <w:t xml:space="preserve"> resolution </w:t>
      </w:r>
      <w:r>
        <w:t>((</w:t>
      </w:r>
      <w:r>
        <w:rPr>
          <w:strike/>
        </w:rPr>
        <w:t xml:space="preserve">structured</w:t>
      </w:r>
      <w:r>
        <w:t>))</w:t>
      </w:r>
      <w:r>
        <w:rPr/>
        <w:t xml:space="preserve"> settlement agreement process, including but not limited to forms filled out by the parties and testimony during a claim</w:t>
      </w:r>
      <w:r>
        <w:t>((</w:t>
      </w:r>
      <w:r>
        <w:rPr>
          <w:strike/>
        </w:rPr>
        <w:t xml:space="preserve">s</w:t>
      </w:r>
      <w:r>
        <w:t>))</w:t>
      </w:r>
      <w:r>
        <w:rPr/>
        <w:t xml:space="preserve"> resolution </w:t>
      </w:r>
      <w:r>
        <w:t>((</w:t>
      </w:r>
      <w:r>
        <w:rPr>
          <w:strike/>
        </w:rPr>
        <w:t xml:space="preserve">structured</w:t>
      </w:r>
      <w:r>
        <w:t>))</w:t>
      </w:r>
      <w:r>
        <w:rPr/>
        <w:t xml:space="preserve">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065</w:t>
      </w:r>
      <w:r>
        <w:rPr/>
        <w:t xml:space="preserve"> and 2011 1st sp.s. c 37 s 303 are each amended to read as follows:</w:t>
      </w:r>
    </w:p>
    <w:p>
      <w:pPr>
        <w:spacing w:before="0" w:after="0" w:line="408" w:lineRule="exact"/>
        <w:ind w:left="0" w:right="0" w:firstLine="576"/>
        <w:jc w:val="left"/>
      </w:pPr>
      <w:r>
        <w:rPr/>
        <w:t xml:space="preserve">The department must maintain copies of all claim resolution </w:t>
      </w:r>
      <w:r>
        <w:t>((</w:t>
      </w:r>
      <w:r>
        <w:rPr>
          <w:strike/>
        </w:rPr>
        <w:t xml:space="preserve">structured</w:t>
      </w:r>
      <w:r>
        <w:t>))</w:t>
      </w:r>
      <w:r>
        <w:rPr/>
        <w:t xml:space="preserve"> settlement agreements entered into between the parties and furnish copies of such agreements to any party actively negotiating a subsequent claim resolution </w:t>
      </w:r>
      <w:r>
        <w:t>((</w:t>
      </w:r>
      <w:r>
        <w:rPr>
          <w:strike/>
        </w:rPr>
        <w:t xml:space="preserve">structured</w:t>
      </w:r>
      <w:r>
        <w:t>))</w:t>
      </w:r>
      <w:r>
        <w:rPr/>
        <w:t xml:space="preserve"> settlement agreement with the worker on any allowed claim when requested. An employer may not consider a prior agreement when making a decision about hiring or the terms or conditions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069</w:t>
      </w:r>
      <w:r>
        <w:rPr/>
        <w:t xml:space="preserve"> and 2011 1st sp.s. c 37 s 306 are each amended to read as follows:</w:t>
      </w:r>
    </w:p>
    <w:p>
      <w:pPr>
        <w:spacing w:before="0" w:after="0" w:line="408" w:lineRule="exact"/>
        <w:ind w:left="0" w:right="0" w:firstLine="576"/>
        <w:jc w:val="left"/>
      </w:pPr>
      <w:r>
        <w:rPr/>
        <w:t xml:space="preserve">On December 1, 2011, and annually thereafter through December 1, 2014, the department shall report annually to the appropriate committees of the legislature on the implementation of claim resolution </w:t>
      </w:r>
      <w:r>
        <w:t>((</w:t>
      </w:r>
      <w:r>
        <w:rPr>
          <w:strike/>
        </w:rPr>
        <w:t xml:space="preserve">structured</w:t>
      </w:r>
      <w:r>
        <w:t>))</w:t>
      </w:r>
      <w:r>
        <w:rPr/>
        <w:t xml:space="preserve"> settlement agreements. In calendar years 2015, 2019, and 2023, the department shall contract for an independent study of claim resolution </w:t>
      </w:r>
      <w:r>
        <w:t>((</w:t>
      </w:r>
      <w:r>
        <w:rPr>
          <w:strike/>
        </w:rPr>
        <w:t xml:space="preserve">structured</w:t>
      </w:r>
      <w:r>
        <w:t>))</w:t>
      </w:r>
      <w:r>
        <w:rPr/>
        <w:t xml:space="preserve"> settlement agreements approved by the board under this section. The study must be performed by a researcher with experience in workers' compensation issues. When selecting the independent researcher, the department shall consult with the workers' compensation advisory committee. The study must evaluate the quality and effectiveness of </w:t>
      </w:r>
      <w:r>
        <w:t>((</w:t>
      </w:r>
      <w:r>
        <w:rPr>
          <w:strike/>
        </w:rPr>
        <w:t xml:space="preserve">structured</w:t>
      </w:r>
      <w:r>
        <w:t>))</w:t>
      </w:r>
      <w:r>
        <w:rPr/>
        <w:t xml:space="preserve"> </w:t>
      </w:r>
      <w:r>
        <w:rPr>
          <w:u w:val="single"/>
        </w:rPr>
        <w:t xml:space="preserve">claim resolution</w:t>
      </w:r>
      <w:r>
        <w:rPr/>
        <w:t xml:space="preserve"> settlement agreements of state fund and self-insured claims, provide information on the impact of these agreements to the state fund and to self-insured employers, and evaluate the outcomes of workers who have resolved their claims through the claim resolution </w:t>
      </w:r>
      <w:r>
        <w:t>((</w:t>
      </w:r>
      <w:r>
        <w:rPr>
          <w:strike/>
        </w:rPr>
        <w:t xml:space="preserve">structured</w:t>
      </w:r>
      <w:r>
        <w:t>))</w:t>
      </w:r>
      <w:r>
        <w:rPr/>
        <w:t xml:space="preserve"> settlement agreement process. The study must be submitted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120</w:t>
      </w:r>
      <w:r>
        <w:rPr/>
        <w:t xml:space="preserve"> and 2011 1st sp.s. c 37 s 304 are each amended to read as follows:</w:t>
      </w:r>
    </w:p>
    <w:p>
      <w:pPr>
        <w:spacing w:before="0" w:after="0" w:line="408" w:lineRule="exact"/>
        <w:ind w:left="0" w:right="0" w:firstLine="576"/>
        <w:jc w:val="left"/>
      </w:pPr>
      <w:r>
        <w:rPr/>
        <w:t xml:space="preserve">(1) Except for claim resolution </w:t>
      </w:r>
      <w:r>
        <w:t>((</w:t>
      </w:r>
      <w:r>
        <w:rPr>
          <w:strike/>
        </w:rPr>
        <w:t xml:space="preserve">structured</w:t>
      </w:r>
      <w:r>
        <w:t>))</w:t>
      </w:r>
      <w:r>
        <w:rPr/>
        <w:t xml:space="preserve"> settlement agreements, it shall be unlawful for an attorney engaged in the representation of any worker or beneficiary to charge for services in the department any fee in excess of a reasonable fee, of not more than thirty percent of the increase in the award secured by the attorney's services. Such reasonable fee shall be fixed by the director or the director's designee for services performed by an attorney for such worker or beneficiary, if written application therefor is made by the attorney, worker, or beneficiary within one year from the date the final decision and order of the department is communicated to the party making the application.</w:t>
      </w:r>
    </w:p>
    <w:p>
      <w:pPr>
        <w:spacing w:before="0" w:after="0" w:line="408" w:lineRule="exact"/>
        <w:ind w:left="0" w:right="0" w:firstLine="576"/>
        <w:jc w:val="left"/>
      </w:pPr>
      <w:r>
        <w:rPr/>
        <w:t xml:space="preserve">(2) If, on appeal to the board, the order, decision, or award of the department is reversed or modified and additional relief is granted to a worker or beneficiary, or in cases where a party other than the worker or beneficiary is the appealing party and the worker's or beneficiary's right to relief is sustained by the board, the board shall fix a reasonable fee for the services of his or her attorney in proceedings before the board if written application therefor is made by the attorney, worker, or beneficiary within one year from the date the final decision and order of the board is communicated to the party making the application. In fixing the amount of such attorney's fee, the board shall take into consideration the fee allowed, if any, by the director, for services before the department, and the board may review the fee fixed by the director. Any attorney's fee set by the department or the board may be reviewed by the superior court upon application of such attorney, worker, or beneficiary. The department or self-insured employer, as the case may be, shall be served a copy of the application and shall be entitled to appear and take part in the proceedings. Where the board, pursuant to this section, fixes the attorney's fee, it shall be unlawful for an attorney to charge or receive any fee for services before the board in excess of that fee fixed by the board.</w:t>
      </w:r>
    </w:p>
    <w:p>
      <w:pPr>
        <w:spacing w:before="0" w:after="0" w:line="408" w:lineRule="exact"/>
        <w:ind w:left="0" w:right="0" w:firstLine="576"/>
        <w:jc w:val="left"/>
      </w:pPr>
      <w:r>
        <w:rPr/>
        <w:t xml:space="preserve">(3) For claim resolution </w:t>
      </w:r>
      <w:r>
        <w:t>((</w:t>
      </w:r>
      <w:r>
        <w:rPr>
          <w:strike/>
        </w:rPr>
        <w:t xml:space="preserve">structured</w:t>
      </w:r>
      <w:r>
        <w:t>))</w:t>
      </w:r>
      <w:r>
        <w:rPr/>
        <w:t xml:space="preserve"> settlement agreements, fees for attorney services are limited to fifteen percent of the total amount to be paid to the worker after the agreement becomes final. The board will also decide on any disputes as to attorneys' fees for services related to claim resolution </w:t>
      </w:r>
      <w:r>
        <w:t>((</w:t>
      </w:r>
      <w:r>
        <w:rPr>
          <w:strike/>
        </w:rPr>
        <w:t xml:space="preserve">structured</w:t>
      </w:r>
      <w:r>
        <w:t>))</w:t>
      </w:r>
      <w:r>
        <w:rPr/>
        <w:t xml:space="preserve"> settlement agreements consistent with the procedures in subsection (2) of this section.</w:t>
      </w:r>
    </w:p>
    <w:p>
      <w:pPr>
        <w:spacing w:before="0" w:after="0" w:line="408" w:lineRule="exact"/>
        <w:ind w:left="0" w:right="0" w:firstLine="576"/>
        <w:jc w:val="left"/>
      </w:pPr>
      <w:r>
        <w:rPr/>
        <w:t xml:space="preserve">(4) In an appeal to the board involving the presumption established under RCW 51.32.185, the attorney's fee shall be payable as set forth under RCW 51.32.185.</w:t>
      </w:r>
    </w:p>
    <w:p>
      <w:pPr>
        <w:spacing w:before="0" w:after="0" w:line="408" w:lineRule="exact"/>
        <w:ind w:left="0" w:right="0" w:firstLine="576"/>
        <w:jc w:val="left"/>
      </w:pPr>
      <w:r>
        <w:rPr/>
        <w:t xml:space="preserve">(5) Any person who violates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2cb4a349d7445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a1af6397a45ea" /><Relationship Type="http://schemas.openxmlformats.org/officeDocument/2006/relationships/footer" Target="/word/footer1.xml" Id="Rd2cb4a349d74450b" /></Relationships>
</file>