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25694a2cad41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5084</w:t>
      </w:r>
    </w:p>
    <w:p>
      <w:pPr>
        <w:jc w:val="center"/>
        <w:spacing w:before="480" w:after="0" w:line="240"/>
      </w:pPr>
      <w:r>
        <w:t xml:space="preserve">Chapter </w:t>
      </w:r>
      <w:r>
        <w:rPr/>
        <w:t xml:space="preserve">331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GENERAL OBLIGATION BONDS—CAPITAL AND OPERATING BUDGETS</w:t>
      </w:r>
    </w:p>
    <w:p>
      <w:pPr>
        <w:spacing w:before="720" w:after="240" w:line="240" w:lineRule="exact"/>
        <w:ind w:left="0" w:right="0" w:firstLine="0"/>
        <w:jc w:val="center"/>
      </w:pPr>
      <w:r>
        <w:t xml:space="preserve">EFFECTIVE DATE: </w:t>
      </w:r>
      <w:r>
        <w:rPr/>
        <w:t xml:space="preserve">May 18,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2:08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19,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5084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Frockt, Mullet, and Wilson, C.; by request of Office of Financial Management)</w:t>
      </w:r>
    </w:p>
    <w:p/>
    <w:p>
      <w:r>
        <w:rPr>
          <w:t xml:space="preserve">READ FIRST TIME 03/29/21.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2019-2021 and 2021-2023 fiscal biennia, and all costs incidental thereto, the state finance committee is authorized to issue general obligation bonds of the state of Washington in the sum of $3,971,290,793,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$3,800,722,793 to remain in the state building construction account created by RCW 43.83.020;</w:t>
      </w:r>
    </w:p>
    <w:p>
      <w:pPr>
        <w:spacing w:before="0" w:after="0" w:line="408" w:lineRule="exact"/>
        <w:ind w:left="0" w:right="0" w:firstLine="576"/>
        <w:jc w:val="left"/>
      </w:pPr>
      <w:r>
        <w:rPr/>
        <w:t xml:space="preserve">(b) $170,568,000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state treasurer shall transfer bond proceeds deposited in the state building construction account into the outdoor recreation account created by RCW 79A.25.060, the habitat conservation account created by RCW 79A.15.020, the farm and forest account created by RCW 79A.15.130, and the Ruth Lecocq Kagi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state treasurer shall transfer bond proceeds deposited in the state taxable building construction account into the Ruth Lecocq Kagi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2021.</w:t>
      </w:r>
    </w:p>
    <w:p>
      <w:pPr>
        <w:spacing w:before="0" w:after="0" w:line="408" w:lineRule="exact"/>
        <w:ind w:left="0" w:right="0" w:firstLine="576"/>
        <w:jc w:val="left"/>
      </w:pPr>
      <w:r>
        <w:rPr/>
        <w:t xml:space="preserve">Passed by the House April 24, 2021.</w:t>
      </w:r>
    </w:p>
    <w:p>
      <w:pPr>
        <w:spacing w:before="0" w:after="0" w:line="408" w:lineRule="exact"/>
        <w:ind w:left="0" w:right="0" w:firstLine="576"/>
        <w:jc w:val="left"/>
      </w:pPr>
      <w:r>
        <w:rPr/>
        <w:t xml:space="preserve">Approved by the Governor May 18, 2021.</w:t>
      </w:r>
    </w:p>
    <w:p>
      <w:pPr>
        <w:spacing w:before="0" w:after="0" w:line="408" w:lineRule="exact"/>
        <w:ind w:left="0" w:right="0" w:firstLine="576"/>
        <w:jc w:val="left"/>
      </w:pPr>
      <w:r>
        <w:rPr/>
        <w:t xml:space="preserve">Filed in Office of Secretary of State May 19, 2021.</w:t>
      </w:r>
    </w:p>
    <w:sectPr>
      <w:pgNumType w:start="1"/>
      <w:footerReference xmlns:r="http://schemas.openxmlformats.org/officeDocument/2006/relationships" r:id="R524924426e8a429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fa4e948b1c4fe1" /><Relationship Type="http://schemas.openxmlformats.org/officeDocument/2006/relationships/footer" Target="/word/footer1.xml" Id="R524924426e8a4298" /></Relationships>
</file>