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a28d9ac11490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SENATE BILL 5135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330</w:t>
      </w:r>
      <w:r>
        <w:t xml:space="preserve">, Laws of 2021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2021 Regular Session</w:t>
      </w:r>
    </w:p>
    <w:p>
      <w:pPr>
        <w:jc w:val="center"/>
        <w:spacing w:before="480" w:after="0" w:line="240"/>
      </w:pPr>
      <w:r>
        <w:rPr/>
        <w:t xml:space="preserve">UNLAWFULLY SUMMONING A POLICE OFFICER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25, 2021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8,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28</w:t>
            </w:r>
            <w:r>
              <w:t xml:space="preserve">  Nays </w:t>
              <w:t xml:space="preserve">21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9,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58</w:t>
            </w:r>
            <w:r>
              <w:t xml:space="preserve">  Nays </w:t>
              <w:t xml:space="preserve">40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SENATE BILL 5135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18, 2021 2:07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19, 2021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5135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Das, Hasegawa, Nguyen, Stanford, and Wilson, C.</w:t>
      </w:r>
    </w:p>
    <w:p/>
    <w:p>
      <w:r>
        <w:rPr>
          <w:t xml:space="preserve">Prefiled 01/08/21.</w:t>
        </w:rPr>
      </w:r>
      <w:r>
        <w:rPr>
          <w:t xml:space="preserve">Read first time 01/11/21.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unlawfully summoning a police officer; and adding a new section to chapter 4.24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may bring a civil action for damages against any person who knowingly causes a law enforcement officer to arrive at a location to contact another person with the intent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Infringe on the other person's rights under the Washington state or United States Constitutions;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Unlawfully discriminate against the other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Cause the other person to feel harassed, humiliated, or embarrassed;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Cause the other person to be expelled from a place in which the other person is lawfully located;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Damage the other person's: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Reputation or standing in the community;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Financial, economic, consumer, or business prospects or interests.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shall not be held liable under subsection (1) of this section if the person acted in good faith in causing a law enforcement officer to arrive.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Upon prevailing in an action under this section, the plaintiff may recover: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greater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Economic and noneconomic damages;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$250 against each defendant found liable under this 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Punitive damages.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court may award reasonable attorneys' fees and costs to the prevailing plaintiff in an action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civil action under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May be maintained in a court of limited jurisdiction if the total damages claimed do not exceed the statutory limit for damages that the court of limited jurisdiction may award;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Does not affect a right or remedy available under any other law of this state.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8,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9,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18,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19, 2021.</w:t>
      </w:r>
    </w:p>
    <w:sectPr>
      <w:pgNumType w:start="1"/>
      <w:footerReference xmlns:r="http://schemas.openxmlformats.org/officeDocument/2006/relationships" r:id="Rf65d6392cf83496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5135.SL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db217fc5148d7" /><Relationship Type="http://schemas.openxmlformats.org/officeDocument/2006/relationships/footer" Target="/word/footer1.xml" Id="Rf65d6392cf834969" /></Relationships>
</file>