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911a34b5da4b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5190</w:t>
      </w:r>
    </w:p>
    <w:p>
      <w:pPr>
        <w:jc w:val="center"/>
        <w:spacing w:before="480" w:after="0" w:line="240"/>
      </w:pPr>
      <w:r>
        <w:t xml:space="preserve">Chapter </w:t>
      </w:r>
      <w:r>
        <w:rPr/>
        <w:t xml:space="preserve">251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CARE WORKERS—PRESUMPTIVE BENEFITS—PUBLIC HEALTH EMERGENCY</w:t>
      </w:r>
    </w:p>
    <w:p>
      <w:pPr>
        <w:spacing w:before="720" w:after="240" w:line="240" w:lineRule="exact"/>
        <w:ind w:left="0" w:right="0" w:firstLine="0"/>
        <w:jc w:val="center"/>
      </w:pPr>
      <w:r>
        <w:t xml:space="preserve">EFFECTIVE DATE: </w:t>
      </w:r>
      <w:r>
        <w:rPr/>
        <w:t xml:space="preserve">May 11,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84</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2021 12:13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Holy, Frockt, Conway, Hasegawa, Honeyford, Keiser, King, Lovelett, Randall, Salomon, Van De Wege, Warnick, Wilson, C., and Wilson, J.)</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care workers with presumptive benefits during a public health emergency; amending RCW 50.04.294, 50.20.010, 50.20.050, and 50.29.021; adding a new section to chapter 51.32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(d)(i) A health care worker who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(ii) For purposes of this subsection, "health care worker" means an individual who worked at a health care facility as defined in RCW 9A.50.010, and was directly involved in the delivery of health services</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(5)(a) During the weeks of a public health emergency, an unemployed health care worker may also meet the requirements of subsection (1)(c) of this section if the unemployed health care worker described in RCW 50.20.050(3) and 50.29.021(1)(c)(iii) is able to perform, available to perform, and actively seeking suitable work which will commence after quarantine or which can be performed for an employer from the individual's home.</w:t>
      </w:r>
    </w:p>
    <w:p>
      <w:pPr>
        <w:spacing w:before="0" w:after="0" w:line="408" w:lineRule="exact"/>
        <w:ind w:left="0" w:right="0" w:firstLine="576"/>
        <w:jc w:val="left"/>
      </w:pPr>
      <w:r>
        <w:rPr>
          <w:u w:val="single"/>
        </w:rPr>
        <w:t xml:space="preserve">(b) For purposes of this subsection, "health care worker" means an individual who worked at a health care facility as defined in RCW 9A.50.010, and was directly involved in the delivery of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 Costs of claims allowed under this section shall not affect the experience rating of employers insured by the state fund.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has or likely has had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(7)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(8) The provisions of RCW 51.28.055 concerning time limits for filing claims for occupational disease apply to claims covered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11,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8edc7d7370d04d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7baff0f5747c5" /><Relationship Type="http://schemas.openxmlformats.org/officeDocument/2006/relationships/footer" Target="/word/footer1.xml" Id="R8edc7d7370d04d83" /></Relationships>
</file>