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6f6d3bf4b24b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5273</w:t>
      </w:r>
    </w:p>
    <w:p>
      <w:pPr>
        <w:jc w:val="center"/>
        <w:spacing w:before="480" w:after="0" w:line="240"/>
      </w:pPr>
      <w:r>
        <w:t xml:space="preserve">Chapter </w:t>
      </w:r>
      <w:r>
        <w:rPr/>
        <w:t xml:space="preserve">279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SHORELINE ARMORING—REPLACEMENT—FISH LIFE IMPACT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Salomon, Rolfes, Pedersen, Das, Lovelett, and Nobles)</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amending RCW 77.55.231;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u w:val="single"/>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Passed by the House March 28,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5d256515e60241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ef47b66e24cf7" /><Relationship Type="http://schemas.openxmlformats.org/officeDocument/2006/relationships/footer" Target="/word/footer1.xml" Id="R5d256515e602417c" /></Relationships>
</file>