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c641d799148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5600</w:t>
      </w:r>
    </w:p>
    <w:p>
      <w:pPr>
        <w:jc w:val="center"/>
        <w:spacing w:before="480" w:after="0" w:line="240"/>
      </w:pPr>
      <w:r>
        <w:t xml:space="preserve">Chapter </w:t>
      </w:r>
      <w:r>
        <w:rPr/>
        <w:t xml:space="preserve">156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REGISTERED APPRENTICESHIP PROGRAMS—VARIOUS PROVISIONS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2, which takes effect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5600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Keiser, Holy, Conway, Das, Dhingra, Hasegawa, Kuderer, Liias, Lovelett, Lovick, Randall, Rivers, Robinson, Saldaña, Salomon, Stanford, Trudeau, Wagoner, Warnick,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sustainability and expansion of state registered apprenticeship programs; amending RCW 49.04.050; adding new sections to chapter 49.04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legislature recognizes that the COVID-19 pandemic has also created a significant dislocation and disruption of our workforce that can be repaired in part by reconnecting workers with innovative apprenticeships that lead to new career pathways. The legislature intends to encourage and foster new apprenticeship opportunities through programs sponsored by public and private entities. It is the intent of the legislature that apprenticeship programs seeking state registration receive prompt consideration with minimum delay. To achieve the goals of rebuilding a robust postpandemic workforce and undertaking active efforts to provide equity, diversity, inclusion, and accessibility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any existing active registered apprenticeship programs, or when a new program gains approval, the apprenticeship council must establish an economic or industry sector-based platform.</w:t>
      </w:r>
    </w:p>
    <w:p>
      <w:pPr>
        <w:spacing w:before="0" w:after="0" w:line="408" w:lineRule="exact"/>
        <w:ind w:left="0" w:right="0" w:firstLine="576"/>
        <w:jc w:val="left"/>
      </w:pPr>
      <w:r>
        <w:rPr/>
        <w:t xml:space="preserve">(2) The economic or industry sector-based platforms may be in the following areas: Building trades, manufacturing and engineering, health care and behavioral health, education and early learning, information and communications technology, biotechnology and life sciences, hospitality, and maritime. Any platform established under this section must have an equal number of employer and employee organization representatives. All platforms established under this section must:</w:t>
      </w:r>
    </w:p>
    <w:p>
      <w:pPr>
        <w:spacing w:before="0" w:after="0" w:line="408" w:lineRule="exact"/>
        <w:ind w:left="0" w:right="0" w:firstLine="576"/>
        <w:jc w:val="left"/>
      </w:pPr>
      <w:r>
        <w:rPr/>
        <w:t xml:space="preserve">(a) Promote collaboration within their economic or industry sector;</w:t>
      </w:r>
    </w:p>
    <w:p>
      <w:pPr>
        <w:spacing w:before="0" w:after="0" w:line="408" w:lineRule="exact"/>
        <w:ind w:left="0" w:right="0" w:firstLine="576"/>
        <w:jc w:val="left"/>
      </w:pPr>
      <w:r>
        <w:rPr/>
        <w:t xml:space="preserve">(b) Periodically review the required classroom and on-the-job training standards for apprenticeship programs within their economic or industry sector;</w:t>
      </w:r>
    </w:p>
    <w:p>
      <w:pPr>
        <w:spacing w:before="0" w:after="0" w:line="408" w:lineRule="exact"/>
        <w:ind w:left="0" w:right="0" w:firstLine="576"/>
        <w:jc w:val="left"/>
      </w:pPr>
      <w:r>
        <w:rPr/>
        <w:t xml:space="preserve">(c) Collaborate with any relevant centers of excellence in RCW 28B.50.902; and</w:t>
      </w:r>
    </w:p>
    <w:p>
      <w:pPr>
        <w:spacing w:before="0" w:after="0" w:line="408" w:lineRule="exact"/>
        <w:ind w:left="0" w:right="0" w:firstLine="576"/>
        <w:jc w:val="left"/>
      </w:pPr>
      <w:r>
        <w:rPr/>
        <w:t xml:space="preserve">(d) Review applications for new apprenticeship programs in the platform's economic or industry sector and make recommendations on the approval or rejection of the applications, or suggested modifications to the applicant apprenticeship programs, to the apprenticeship council.</w:t>
      </w:r>
    </w:p>
    <w:p>
      <w:pPr>
        <w:spacing w:before="0" w:after="0" w:line="408" w:lineRule="exact"/>
        <w:ind w:left="0" w:right="0" w:firstLine="576"/>
        <w:jc w:val="left"/>
      </w:pPr>
      <w:r>
        <w:rPr/>
        <w:t xml:space="preserve">(3) The department of labor and industries must assign an industry liaison to support each platform.</w:t>
      </w:r>
    </w:p>
    <w:p>
      <w:pPr>
        <w:spacing w:before="0" w:after="0" w:line="408" w:lineRule="exact"/>
        <w:ind w:left="0" w:right="0" w:firstLine="576"/>
        <w:jc w:val="left"/>
      </w:pPr>
      <w:r>
        <w:rPr/>
        <w:t xml:space="preserve">(4) The platform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required classroom and on-the-job training standards.</w:t>
      </w:r>
    </w:p>
    <w:p>
      <w:pPr>
        <w:spacing w:before="0" w:after="0" w:line="408" w:lineRule="exact"/>
        <w:ind w:left="0" w:right="0" w:firstLine="576"/>
        <w:jc w:val="left"/>
      </w:pPr>
      <w:r>
        <w:rPr/>
        <w:t xml:space="preserve">(5) The department must consult with the United States department of labor about opportunities for Washington state employers to participate in apprenticeship programs, and to pursue federal grants on behalf of state registered apprentices and apprenticeships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The committee will involve the exclusive collective bargaining representatives and public sector agencies conducting work study programs that enable high school graduates to achieve entry-level employment and placement in registered apprenticeship programs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apprenticeship council must require new apprenticeship programs seeking approval to provide an assessment for future sustainability of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move toward a living wage, the availability of a career ladder to graduating apprentices, or the existence of other nonwage benefits as factors in the approval process.</w:t>
      </w:r>
    </w:p>
    <w:p>
      <w:pPr>
        <w:spacing w:before="0" w:after="0" w:line="408" w:lineRule="exact"/>
        <w:ind w:left="0" w:right="0" w:firstLine="576"/>
        <w:jc w:val="left"/>
      </w:pPr>
      <w:r>
        <w:rPr>
          <w:u w:val="single"/>
        </w:rPr>
        <w:t xml:space="preserve">(4) The apprenticeship council must annually report to the appropriate committees of the legislature a list of apprenticeship programs that have applied for state approval, whether those applicant apprenticeship programs have been approved or not approved, and the reasons for any denials of approval by the apprenticeship council. The apprenticeship council must provide its first report to the legislature by December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state registered apprenticeship programs for modernizing technology and remote learning infrastructure.</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state registered apprenticeship training committees that support individuals currently in, or seeking to enter, state registered apprenticeship programs or apprenticeship council recognized apprenticeship preparation programs by providing, or connecting apprentices to, wrap-around services, including child care, professional clothing, required tools, or transportation.</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state registered apprenticeship programs to upgrade equipment necessary for the program.</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minors enrolled in a state registered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0" w:after="0" w:line="408" w:lineRule="exact"/>
        <w:ind w:left="0" w:right="0" w:firstLine="576"/>
        <w:jc w:val="left"/>
      </w:pPr>
      <w:r>
        <w:rPr/>
        <w:t xml:space="preserve">(3) No funds from the accident fund established in RCW 51.44.010 or the medical aid fund established in RCW 51.44.020 may be used in funding the voucher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or smaller employers that have lower apprenticeship utilization rates. The department must also assess the lack of local apprenticeship programs in rural communities and the logistical burdens, including travel time, apprentices in rural communities encounter when participating in approved apprenticeship programs and develop policy options for alleviating these issues.</w:t>
      </w:r>
    </w:p>
    <w:p>
      <w:pPr>
        <w:spacing w:before="0" w:after="0" w:line="408" w:lineRule="exact"/>
        <w:ind w:left="0" w:right="0" w:firstLine="576"/>
        <w:jc w:val="left"/>
      </w:pPr>
      <w:r>
        <w:rPr/>
        <w:t xml:space="preserve">(2) By September 30, 2023, and in compliance with RCW 43.01.036, the department of labor and industries must submit a report to the legislature detailing the list of options for incentivizing apprenticeship utilization and the policy option recommendations addressing apprenticeship issues in rural communities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including any recommendations on necessary legislative actions.</w:t>
      </w:r>
    </w:p>
    <w:p>
      <w:pPr>
        <w:spacing w:before="0" w:after="0" w:line="408" w:lineRule="exact"/>
        <w:ind w:left="0" w:right="0" w:firstLine="576"/>
        <w:jc w:val="left"/>
      </w:pPr>
      <w:r>
        <w:rPr/>
        <w:t xml:space="preserve">(2) By December 1, 2022, and in compliance with RCW 43.01.036, the office of the superintendent of public instruction, in collaboration with the apprenticeship section of the department of labor and industries, must submit a report to the legislature to identify opportunities and challenges for expansion, enhancement, and sustainability of high quality career and technical education. The report must identify existing state registered preapprenticeship programs and existing high school career and technical education programs that could be eligible to become state registered preapprenticeship programs.</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4f79b7534dbd4e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6f723c09443f6" /><Relationship Type="http://schemas.openxmlformats.org/officeDocument/2006/relationships/footer" Target="/word/footer1.xml" Id="R4f79b7534dbd4e15" /></Relationships>
</file>