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12ea911dde4b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5631</w:t>
      </w:r>
    </w:p>
    <w:p>
      <w:pPr>
        <w:jc w:val="center"/>
        <w:spacing w:before="480" w:after="0" w:line="240"/>
      </w:pPr>
      <w:r>
        <w:t xml:space="preserve">Chapter </w:t>
      </w:r>
      <w:r>
        <w:rPr/>
        <w:t xml:space="preserve">51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COMMERCIAL DRIVER'S LICENSES—HUMAN TRAFFICKING</w:t>
      </w:r>
    </w:p>
    <w:p>
      <w:pPr>
        <w:spacing w:before="720" w:after="240" w:line="240" w:lineRule="exact"/>
        <w:ind w:left="0" w:right="0" w:firstLine="0"/>
        <w:jc w:val="center"/>
      </w:pPr>
      <w:r>
        <w:t xml:space="preserve">EFFECTIVE DATE: </w:t>
      </w:r>
      <w:r>
        <w:rPr/>
        <w:t xml:space="preserve">September 23,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5631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Kuderer, Brown, Dhingra, Fortunato, Lovick, Nobles, Stanford, Van De Wege, Warnick, J. Wilson, and L.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human trafficking a disqualifying offense for a commercial driver's license and coming into compliance with the requirements of the federal motor carrier safety administration; amending RCW 46.25.090;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2017 c 87 s 5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0.08 or more, or is 0.02 or more if the person is under age twenty</w:t>
      </w:r>
      <w:r>
        <w:rPr/>
        <w:noBreakHyphen/>
      </w:r>
      <w:r>
        <w:rPr/>
        <w:t xml:space="preserve">one, or with a THC concentration of 5.00 nanograms per milliliter of whole blood or more, or a THC concentration above 0.00 if the person is under the age of twenty-one,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ten years.</w:t>
      </w:r>
    </w:p>
    <w:p>
      <w:pPr>
        <w:spacing w:before="0" w:after="0" w:line="408" w:lineRule="exact"/>
        <w:ind w:left="0" w:right="0" w:firstLine="576"/>
        <w:jc w:val="left"/>
      </w:pPr>
      <w:r>
        <w:rPr/>
        <w:t xml:space="preserve">(4) A person is disqualified from driving a commercial motor vehicle for life who </w:t>
      </w:r>
      <w:r>
        <w:t>((</w:t>
      </w:r>
      <w:r>
        <w:rPr>
          <w:strike/>
        </w:rPr>
        <w:t xml:space="preserve">uses</w:t>
      </w:r>
      <w:r>
        <w:t>))</w:t>
      </w:r>
      <w:r>
        <w:rPr>
          <w:u w:val="single"/>
        </w:rPr>
        <w:t xml:space="preserve">:</w:t>
      </w:r>
    </w:p>
    <w:p>
      <w:pPr>
        <w:spacing w:before="0" w:after="0" w:line="408" w:lineRule="exact"/>
        <w:ind w:left="0" w:right="0" w:firstLine="576"/>
        <w:jc w:val="left"/>
      </w:pPr>
      <w:r>
        <w:rPr>
          <w:u w:val="single"/>
        </w:rPr>
        <w:t xml:space="preserve">(a) Uses</w:t>
      </w:r>
      <w:r>
        <w:rPr/>
        <w:t xml:space="preserve"> a motor vehicle in the commission of a felony involving the manufacture, distribution, or dispensing of a controlled substance, as defined by chapter 69.50 RCW, or possession with intent to manufacture, distribute, or dispense a controlled substance, as defined by chapter 69.50 RCW</w:t>
      </w:r>
      <w:r>
        <w:rPr>
          <w:u w:val="single"/>
        </w:rPr>
        <w:t xml:space="preserve">; or</w:t>
      </w:r>
    </w:p>
    <w:p>
      <w:pPr>
        <w:spacing w:before="0" w:after="0" w:line="408" w:lineRule="exact"/>
        <w:ind w:left="0" w:right="0" w:firstLine="576"/>
        <w:jc w:val="left"/>
      </w:pPr>
      <w:r>
        <w:rPr>
          <w:u w:val="single"/>
        </w:rPr>
        <w:t xml:space="preserve">(b) Uses a motor vehicle in the commission of any trafficking offense under RCW 9A.40.100, which offenses are deemed consistent with felonies involving severe forms of trafficking in persons as described by the federal motor carrier safety administration</w:t>
      </w:r>
      <w:r>
        <w:rPr/>
        <w:t xml:space="preserve">.</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sixty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one hundred twenty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one hundred eighty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ten-year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ten-year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one hundred eighty days nor more than two years if the person is convicted of or is found to have committed a first violation of an out-of-service order while transporting hazardous materials, or while operating motor vehicles designed to transport sixteen or more passengers, including the driver. A person is disqualified for a period of not less than three years nor more than five years if, during a ten-year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t xml:space="preserve">(8)(a)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or other on-track equipment;</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sixty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one hundred twenty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(9)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(10) Within ten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23,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1ff734a8077547b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a30433200d4aed" /><Relationship Type="http://schemas.openxmlformats.org/officeDocument/2006/relationships/footer" Target="/word/footer1.xml" Id="R1ff734a8077547b6" /></Relationships>
</file>