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5b7d349864f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5634</w:t>
      </w:r>
    </w:p>
    <w:p>
      <w:pPr>
        <w:jc w:val="center"/>
        <w:spacing w:before="480" w:after="0" w:line="240"/>
      </w:pPr>
      <w:r>
        <w:t xml:space="preserve">Chapter </w:t>
      </w:r>
      <w:r>
        <w:rPr/>
        <w:t xml:space="preserve">159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UTILITIES AND TRANSPORTATION COMMISSION—REGULATORY FEES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53</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 Carlyle</w:t>
      </w:r>
    </w:p>
    <w:p/>
    <w:p>
      <w:r>
        <w:rPr>
          <w:t xml:space="preserve">Prefiled 01/04/22.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utilities and transportation commission's regulatory fees; and amending RCW 80.24.010.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2003 c 296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w:t>
      </w:r>
      <w:r>
        <w:t>((</w:t>
      </w:r>
      <w:r>
        <w:rPr>
          <w:strike/>
        </w:rPr>
        <w:t xml:space="preserve">two-tenths</w:t>
      </w:r>
      <w:r>
        <w:t>))</w:t>
      </w:r>
      <w:r>
        <w:rPr/>
        <w:t xml:space="preserve"> </w:t>
      </w:r>
      <w:r>
        <w:rPr>
          <w:u w:val="single"/>
        </w:rPr>
        <w:t xml:space="preserve">four-tenths</w:t>
      </w:r>
      <w:r>
        <w:rPr/>
        <w:t xml:space="preserve"> of one percent of any gross operating revenue in excess of fifty thousand dollars: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3007982711fb44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b7166aa7504807" /><Relationship Type="http://schemas.openxmlformats.org/officeDocument/2006/relationships/footer" Target="/word/footer1.xml" Id="R3007982711fb446d" /></Relationships>
</file>