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157038a954db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5649</w:t>
      </w:r>
    </w:p>
    <w:p>
      <w:pPr>
        <w:jc w:val="center"/>
        <w:spacing w:before="480" w:after="0" w:line="240"/>
      </w:pPr>
      <w:r>
        <w:t xml:space="preserve">Chapter </w:t>
      </w:r>
      <w:r>
        <w:rPr/>
        <w:t xml:space="preserve">233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PAID FAMILY AND MEDICAL LEAVE ACT—MODIFICATION</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8, which takes effect March 30,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42</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5649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Robinson, Conway, Lovick, Randall,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state paid family and medical leave act; amending RCW 50A.05.010, 50A.05.090, 50A.15.020, 50A.25.020, 50A.15.040, 50A.05.050, 44.44.040, and 50A.25.070; adding new sections to chapter 50A.05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w:t>
      </w:r>
      <w:r>
        <w:rPr>
          <w:u w:val="single"/>
        </w:rPr>
        <w:t xml:space="preserve">or for the actuarial services created under this act</w:t>
      </w:r>
      <w:r>
        <w:rPr/>
        <w:t xml:space="preserve">;</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u w:val="single"/>
        </w:rPr>
        <w:t xml:space="preserve">(l) To the joint legislative audit and review committee, in accordance with RCW 44.28.110, for the purpose of conducting performance audits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1ab6d30d7dc142a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a0c2db22248e8" /><Relationship Type="http://schemas.openxmlformats.org/officeDocument/2006/relationships/footer" Target="/word/footer1.xml" Id="R1ab6d30d7dc142a6" /></Relationships>
</file>