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750c192ab4f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5715</w:t>
      </w:r>
    </w:p>
    <w:p>
      <w:pPr>
        <w:jc w:val="center"/>
        <w:spacing w:before="480" w:after="0" w:line="240"/>
      </w:pPr>
      <w:r>
        <w:t xml:space="preserve">Chapter </w:t>
      </w:r>
      <w:r>
        <w:rPr/>
        <w:t xml:space="preserve">237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BROADBAND AND BROADBAND SERVICE—DEFINITIONS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Wellman, Sheldon, Randall, and C. Wilson</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broadband or broadband service; amending RCW 43.330.530;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statewide broadband office's objective of scalability while appreciating that a digital economy will continue to drive higher and higher speeds. Therefore, the legislature intends to move towards adequate connectivity in terms of the needs of economic development, education, and telehealth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w:t>
      </w:r>
      <w:r>
        <w:t>((</w:t>
      </w:r>
      <w:r>
        <w:rPr>
          <w:strike/>
        </w:rPr>
        <w:t xml:space="preserve">, except that the state's definition for broadband service may not be actual speeds less than twenty-five megabits per second download and three megabits per second upload</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b67386d0562b43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3e05036704413" /><Relationship Type="http://schemas.openxmlformats.org/officeDocument/2006/relationships/footer" Target="/word/footer1.xml" Id="Rb67386d0562b433b" /></Relationships>
</file>