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e9443592f47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5785</w:t>
      </w:r>
    </w:p>
    <w:p>
      <w:pPr>
        <w:jc w:val="center"/>
        <w:spacing w:before="480" w:after="0" w:line="240"/>
      </w:pPr>
      <w:r>
        <w:t xml:space="preserve">Chapter </w:t>
      </w:r>
      <w:r>
        <w:rPr/>
        <w:t xml:space="preserve">98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TRANSITIONAL FOOD ASSISTANCE—SANCTION STATUS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Lovelett, C. Wilson, Das, Dhingra, Hasegawa, Nobles, Saldaña, and Stanford; by request of Department of Social and Health Services)</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transitional food assistance; amending RCW 74.08A.010;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w:t>
      </w:r>
      <w:r>
        <w:rPr>
          <w:u w:val="single"/>
        </w:rPr>
        <w:t xml:space="preserve">full-family</w:t>
      </w:r>
      <w:r>
        <w:rPr/>
        <w:t xml:space="preserve"> sanction status. </w:t>
      </w:r>
      <w:r>
        <w:rPr>
          <w:u w:val="single"/>
        </w:rPr>
        <w:t xml:space="preserve">If a member of a household has been sanctioned but the household is still receiving benefits, the remaining eligible household members may receive transitional food assistance.</w:t>
      </w:r>
      <w:r>
        <w:rPr/>
        <w:t xml:space="preserve">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54bf1ec7506f410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153d2c560443f" /><Relationship Type="http://schemas.openxmlformats.org/officeDocument/2006/relationships/footer" Target="/word/footer1.xml" Id="R54bf1ec7506f4103" /></Relationships>
</file>