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9a19212814f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5814</w:t>
      </w:r>
    </w:p>
    <w:p>
      <w:pPr>
        <w:jc w:val="center"/>
        <w:spacing w:before="480" w:after="0" w:line="240"/>
      </w:pPr>
      <w:r>
        <w:t xml:space="preserve">Chapter </w:t>
      </w:r>
      <w:r>
        <w:rPr/>
        <w:t xml:space="preserve">171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SUSPECTED VICTIMS OF CHILD ABUSE—MEDICAL EVALUATION FUNDING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Cleveland, Dhingra, Keiser, Lovelett, Lovick,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new sections to chapter 7.68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crime victims' compensation fund was established in 1973 to cover medical bills and other costs associated with being the victim of a crime. The legislature finds that state law requires the crime victims' compensation fund to pay the costs of sexual assault examinations of minors when they are performed to gather evidence for possible prosecution. The legislature finds that in 2015, the legislature passed Substitute Senate Bill No. 5897 to provide funding for medical evaluations of suspected child victims of physical abuse. The legislature finds that this law expired June 30, 2019, and was not extended in the omnibus operating appropriations act. The legislature recognizes that while sexual assault examinations are currently provided for by the crime victims' compensation fund, examinations for child victims of physical assault are not provided for. The legislature finds that medical examinations are important for children who may be victims of physical abuse. The legislature finds that contributing to the cost of these examinations will incentivize timely evaluations, lead to early identification of abuse, and potentially prevent a child from further traumatization or injury. The legislature therefore resolves to reenact the provision of medical examinations of children who may be victims of physical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an institution as defined in RCW 26.44.020 for the examination of a suspected victim of assault of a child under chapter 9A.36 RCW may be billed or charged directly or indirectly to the suspected victim of the assault. Subject to the availability of amounts appropriated for this specific purpose, the department must pay all costs incurred by an institution as defined in RCW 26.44.020 for the examination of a suspected victim of assault of a child, provided that the cost of the examination would not otherwise be covered by the department.</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By November 1, 2023, and annually thereafter, and in compliance with RCW 43.01.036, the department must submit a report to the legislature and governor with the following information: The number of requests to pay for physical abuse exams for child victims of physical assault pursuant to section 2 of this act, how many of these requests are approved and denied including the reasons for denial, how many of the exams are covered for another reason, and any other information the department believes is beneficial.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9e093532734b45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af1750b8f647f3" /><Relationship Type="http://schemas.openxmlformats.org/officeDocument/2006/relationships/footer" Target="/word/footer1.xml" Id="R9e093532734b45bf" /></Relationships>
</file>