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8b9b1bd2a4f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5818</w:t>
      </w:r>
    </w:p>
    <w:p>
      <w:pPr>
        <w:jc w:val="center"/>
        <w:spacing w:before="480" w:after="0" w:line="240"/>
      </w:pPr>
      <w:r>
        <w:t xml:space="preserve">Chapter </w:t>
      </w:r>
      <w:r>
        <w:rPr/>
        <w:t xml:space="preserve">246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HOUSING CONSTRUCTION—STATE ENVIRONMENTAL POLICY ACT AND GROWTH MANAGEMENT ACT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43</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Salomon, Liias, Kuderer, Saldaña, and Short)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housing construction in cities through amendments to and limiting appeals under the state environmental policy act and growth management act; amending RCW 36.70A.600, 36.70A.070, 43.21C.495, and 43.21C.501; adding a new section to chapter 43.21C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2020 c 173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two hundred acres in cities with a population greater than forty thousand or not fewer than one hundred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quadplex, sixplex, stacked flat, townhouse,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t xml:space="preserve">(e) Authorize cluster zoning or lot size averaging in all zoning districts that permit single-family residences;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t xml:space="preserve">(n) Authorize accessory dwelling units in one or more zoning districts in which they are currently prohibited;</w:t>
      </w:r>
    </w:p>
    <w:p>
      <w:pPr>
        <w:spacing w:before="0" w:after="0" w:line="408" w:lineRule="exact"/>
        <w:ind w:left="0" w:right="0" w:firstLine="576"/>
        <w:jc w:val="left"/>
      </w:pPr>
      <w:r>
        <w:rPr/>
        <w:t xml:space="preserve">(o) Remove minimum residential parking requirements related to accessory dwelling units;</w:t>
      </w:r>
    </w:p>
    <w:p>
      <w:pPr>
        <w:spacing w:before="0" w:after="0" w:line="408" w:lineRule="exact"/>
        <w:ind w:left="0" w:right="0" w:firstLine="576"/>
        <w:jc w:val="left"/>
      </w:pPr>
      <w:r>
        <w:rPr/>
        <w:t xml:space="preserve">(p) Remove owner occupancy requirements related to accessory dwelling units;</w:t>
      </w:r>
    </w:p>
    <w:p>
      <w:pPr>
        <w:spacing w:before="0" w:after="0" w:line="408" w:lineRule="exact"/>
        <w:ind w:left="0" w:right="0" w:firstLine="576"/>
        <w:jc w:val="left"/>
      </w:pPr>
      <w:r>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(r) Adopt maximum allowable exemption levels in WAC 197-11-800(1) as it existed on June 11, 2020, or such subsequent date as may be provided by the department of ecology by rule, consistent with the purposes of this section;</w:t>
      </w:r>
    </w:p>
    <w:p>
      <w:pPr>
        <w:spacing w:before="0" w:after="0" w:line="408" w:lineRule="exact"/>
        <w:ind w:left="0" w:right="0" w:firstLine="576"/>
        <w:jc w:val="left"/>
      </w:pPr>
      <w:r>
        <w:rPr/>
        <w:t xml:space="preserve">(s) Adopt standards for administrative approval of final plats pursuant to RCW 58.17.100;</w:t>
      </w:r>
    </w:p>
    <w:p>
      <w:pPr>
        <w:spacing w:before="0" w:after="0" w:line="408" w:lineRule="exact"/>
        <w:ind w:left="0" w:right="0" w:firstLine="576"/>
        <w:jc w:val="left"/>
      </w:pPr>
      <w:r>
        <w:rPr/>
        <w:t xml:space="preserve">(t) Adopt ordinances authorizing administrative review of preliminary plats pursuant to RCW 58.17.095;</w:t>
      </w:r>
    </w:p>
    <w:p>
      <w:pPr>
        <w:spacing w:before="0" w:after="0" w:line="408" w:lineRule="exact"/>
        <w:ind w:left="0" w:right="0" w:firstLine="576"/>
        <w:jc w:val="left"/>
      </w:pPr>
      <w:r>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 and</w:t>
      </w:r>
    </w:p>
    <w:p>
      <w:pPr>
        <w:spacing w:before="0" w:after="0" w:line="408" w:lineRule="exact"/>
        <w:ind w:left="0" w:right="0" w:firstLine="576"/>
        <w:jc w:val="left"/>
      </w:pPr>
      <w:r>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w:t>
      </w:r>
      <w:r>
        <w:t>((</w:t>
      </w:r>
      <w:r>
        <w:rPr>
          <w:strike/>
        </w:rPr>
        <w:t xml:space="preserve">If adopted by April 1, 2023,</w:t>
      </w:r>
      <w:r>
        <w:t>))</w:t>
      </w:r>
      <w:r>
        <w:rPr/>
        <w:t xml:space="preserve"> </w:t>
      </w:r>
      <w:r>
        <w:rPr>
          <w:u w:val="single"/>
        </w:rPr>
        <w:t xml:space="preserve">The adoption of</w:t>
      </w:r>
      <w:r>
        <w:rPr/>
        <w:t xml:space="preserve"> ordinances, </w:t>
      </w:r>
      <w:r>
        <w:rPr>
          <w:u w:val="single"/>
        </w:rPr>
        <w:t xml:space="preserve">development regulations and</w:t>
      </w:r>
      <w:r>
        <w:rPr/>
        <w:t xml:space="preserve"> amendments to </w:t>
      </w:r>
      <w:r>
        <w:t>((</w:t>
      </w:r>
      <w:r>
        <w:rPr>
          <w:strike/>
        </w:rPr>
        <w:t xml:space="preserve">development</w:t>
      </w:r>
      <w:r>
        <w:t>))</w:t>
      </w:r>
      <w:r>
        <w:rPr/>
        <w:t xml:space="preserve"> </w:t>
      </w:r>
      <w:r>
        <w:rPr>
          <w:u w:val="single"/>
        </w:rPr>
        <w:t xml:space="preserve">such</w:t>
      </w:r>
      <w:r>
        <w:rPr/>
        <w:t xml:space="preserve">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2023, to amend </w:t>
      </w:r>
      <w:r>
        <w:t>((</w:t>
      </w:r>
      <w:r>
        <w:rPr>
          <w:strike/>
        </w:rPr>
        <w:t xml:space="preserve">their</w:t>
      </w:r>
      <w:r>
        <w:t>))</w:t>
      </w:r>
      <w:r>
        <w:rPr/>
        <w:t xml:space="preserve"> </w:t>
      </w:r>
      <w:r>
        <w:rPr>
          <w:u w:val="single"/>
        </w:rPr>
        <w:t xml:space="preserve">its</w:t>
      </w:r>
      <w:r>
        <w:rPr/>
        <w:t xml:space="preserve"> comprehensive plan</w:t>
      </w:r>
      <w:r>
        <w:t>((</w:t>
      </w:r>
      <w:r>
        <w:rPr>
          <w:strike/>
        </w:rPr>
        <w:t xml:space="preserve">,</w:t>
      </w:r>
      <w:r>
        <w:t>))</w:t>
      </w:r>
      <w:r>
        <w:rPr/>
        <w:t xml:space="preserve">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u w:val="single"/>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2020 c 173 s 2 are each amended to read as follows:</w:t>
      </w:r>
    </w:p>
    <w:p>
      <w:pPr>
        <w:spacing w:before="0" w:after="0" w:line="408" w:lineRule="exact"/>
        <w:ind w:left="0" w:right="0" w:firstLine="576"/>
        <w:jc w:val="left"/>
      </w:pPr>
      <w:r>
        <w:t>((</w:t>
      </w:r>
      <w:r>
        <w:rPr>
          <w:strike/>
        </w:rPr>
        <w:t xml:space="preserve">If adopted by April 1, 2023, amendments to development regulations</w:t>
      </w:r>
      <w:r>
        <w:t>))</w:t>
      </w:r>
      <w:r>
        <w:rPr/>
        <w:t xml:space="preserve"> </w:t>
      </w:r>
      <w:r>
        <w:rPr>
          <w:u w:val="single"/>
        </w:rPr>
        <w:t xml:space="preserve">Adoption of ordinances, development regulations and amendments to such regulations,</w:t>
      </w:r>
      <w:r>
        <w:rPr/>
        <w:t xml:space="preserve"> and other nonproject actions taken by a city to implement</w:t>
      </w:r>
      <w:r>
        <w:rPr>
          <w:u w:val="single"/>
        </w:rPr>
        <w:t xml:space="preserve">: The actions specified in section 2, chapter . . ., Laws of 2022 (this act) unless the adoption of such ordinances, development regulations and amendments to such regulations, or other nonproject actions has a probable significant adverse impact on fish habitat; and the increased residential building capacity actions identified in</w:t>
      </w:r>
      <w:r>
        <w:rPr/>
        <w:t xml:space="preserve"> RCW 36.70A.600(1) </w:t>
      </w:r>
      <w:r>
        <w:t>((</w:t>
      </w:r>
      <w:r>
        <w:rPr>
          <w:strike/>
        </w:rPr>
        <w:t xml:space="preserve">or (4)</w:t>
      </w:r>
      <w:r>
        <w:t>))</w:t>
      </w:r>
      <w:r>
        <w:rPr/>
        <w:t xml:space="preserve">,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501</w:t>
      </w:r>
      <w:r>
        <w:rPr/>
        <w:t xml:space="preserve"> and 2019 c 348 s 6 are each amended to read as follows:</w:t>
      </w:r>
    </w:p>
    <w:p>
      <w:pPr>
        <w:spacing w:before="0" w:after="0" w:line="408" w:lineRule="exact"/>
        <w:ind w:left="0" w:right="0" w:firstLine="576"/>
        <w:jc w:val="left"/>
      </w:pPr>
      <w:r>
        <w:rPr/>
        <w:t xml:space="preserve">(1) </w:t>
      </w: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(2) and (3) of this section, are met.</w:t>
      </w:r>
    </w:p>
    <w:p>
      <w:pPr>
        <w:spacing w:before="0" w:after="0" w:line="408" w:lineRule="exact"/>
        <w:ind w:left="0" w:right="0" w:firstLine="576"/>
        <w:jc w:val="left"/>
      </w:pPr>
      <w:r>
        <w:rPr>
          <w:u w:val="single"/>
        </w:rPr>
        <w:t xml:space="preserve">(2)(a) 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w:t>
      </w:r>
      <w:r>
        <w:t>((</w:t>
      </w:r>
      <w:r>
        <w:rPr>
          <w:strike/>
        </w:rPr>
        <w:t xml:space="preserve">the project does not present significant adverse impacts to the state-owned transportation system as determined by the department of transportation and</w:t>
      </w:r>
      <w:r>
        <w:t>))</w:t>
      </w:r>
      <w:r>
        <w:rPr/>
        <w:t xml:space="preserve"> the project is:</w:t>
      </w:r>
    </w:p>
    <w:p>
      <w:pPr>
        <w:spacing w:before="0" w:after="0" w:line="408" w:lineRule="exact"/>
        <w:ind w:left="0" w:right="0" w:firstLine="576"/>
        <w:jc w:val="left"/>
      </w:pPr>
      <w:r>
        <w:t>((</w:t>
      </w:r>
      <w:r>
        <w:rPr>
          <w:strike/>
        </w:rPr>
        <w:t xml:space="preserve">(a)(i)</w:t>
      </w:r>
      <w:r>
        <w:t>))</w:t>
      </w:r>
      <w:r>
        <w:rPr/>
        <w:t xml:space="preserve"> </w:t>
      </w:r>
      <w:r>
        <w:rPr>
          <w:u w:val="single"/>
        </w:rPr>
        <w:t xml:space="preserve">(i)(A)</w:t>
      </w:r>
      <w:r>
        <w:rPr/>
        <w:t xml:space="preserve"> Consistent with a locally adopted transportation plan;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Consistent with the transportation element of a comprehensive plan;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A project for which traffic or parking impact fees are imposed pursuant to RCW 82.02.050 through 82.02.090;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project for which traffic or parking impacts are </w:t>
      </w:r>
      <w:r>
        <w:t>((</w:t>
      </w:r>
      <w:r>
        <w:rPr>
          <w:strike/>
        </w:rPr>
        <w:t xml:space="preserve">expressly</w:t>
      </w:r>
      <w:r>
        <w:t>))</w:t>
      </w:r>
      <w:r>
        <w:rPr/>
        <w:t xml:space="preserve"> mitigated by an ordinance, or ordinances, of general application adopted by the city or town.</w:t>
      </w:r>
    </w:p>
    <w:p>
      <w:pPr>
        <w:spacing w:before="0" w:after="0" w:line="408" w:lineRule="exact"/>
        <w:ind w:left="0" w:right="0" w:firstLine="576"/>
        <w:jc w:val="left"/>
      </w:pPr>
      <w:r>
        <w:t>((</w:t>
      </w:r>
      <w:r>
        <w:rPr>
          <w:strike/>
        </w:rPr>
        <w:t xml:space="preserve">(2)</w:t>
      </w:r>
      <w:r>
        <w:t>))</w:t>
      </w:r>
      <w:r>
        <w:rPr/>
        <w:t xml:space="preserve"> </w:t>
      </w:r>
      <w:r>
        <w:rPr>
          <w:u w:val="single"/>
        </w:rPr>
        <w:t xml:space="preserve">(b) The exemption under this subsection (2) does not apply if the department of transportation has found that the project will present significant adverse impacts to the state-owned transportation system.</w:t>
      </w:r>
    </w:p>
    <w:p>
      <w:pPr>
        <w:spacing w:before="0" w:after="0" w:line="408" w:lineRule="exact"/>
        <w:ind w:left="0" w:right="0" w:firstLine="576"/>
        <w:jc w:val="left"/>
      </w:pPr>
      <w:r>
        <w:rPr>
          <w:u w:val="single"/>
        </w:rPr>
        <w:t xml:space="preserve">(3)(a) 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is subject to design review pursuant to adopted design review requirements at the local government level.</w:t>
      </w:r>
    </w:p>
    <w:p>
      <w:pPr>
        <w:spacing w:before="0" w:after="0" w:line="408" w:lineRule="exact"/>
        <w:ind w:left="0" w:right="0" w:firstLine="576"/>
        <w:jc w:val="left"/>
      </w:pPr>
      <w:r>
        <w:rPr>
          <w:u w:val="single"/>
        </w:rPr>
        <w:t xml:space="preserve">(b) Light and glare. A project action pertaining to residential, multifamily, or mixed-use development evaluated under this chapter by a city or town planning under RCW 36.70A.040 is exempt from appeals under this chapter on the basis of the evaluation of or impacts to the light and glare element of the environment, so long as the project is subject to design review pursuant to adopted design review requirements at the local government level.</w:t>
      </w:r>
    </w:p>
    <w:p>
      <w:pPr>
        <w:spacing w:before="0" w:after="0" w:line="408" w:lineRule="exact"/>
        <w:ind w:left="0" w:right="0" w:firstLine="576"/>
        <w:jc w:val="left"/>
      </w:pPr>
      <w:r>
        <w:rPr>
          <w:u w:val="single"/>
        </w:rPr>
        <w:t xml:space="preserve">(4)</w:t>
      </w:r>
      <w:r>
        <w:rPr/>
        <w:t xml:space="preserve"> For purposes of this section</w:t>
      </w:r>
      <w:r>
        <w:t>((</w:t>
      </w:r>
      <w:r>
        <w:rPr>
          <w:strike/>
        </w:rPr>
        <w:t xml:space="preserve">, "impacts</w:t>
      </w:r>
      <w:r>
        <w:t>))</w:t>
      </w:r>
      <w:r>
        <w:rPr>
          <w:u w:val="single"/>
        </w:rPr>
        <w:t xml:space="preserve">:</w:t>
      </w:r>
    </w:p>
    <w:p>
      <w:pPr>
        <w:spacing w:before="0" w:after="0" w:line="408" w:lineRule="exact"/>
        <w:ind w:left="0" w:right="0" w:firstLine="576"/>
        <w:jc w:val="left"/>
      </w:pPr>
      <w:r>
        <w:rPr>
          <w:u w:val="single"/>
        </w:rPr>
        <w:t xml:space="preserve">(a)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u w:val="single"/>
        </w:rPr>
        <w:t xml:space="preserve">(b) "Impacts</w:t>
      </w:r>
      <w:r>
        <w:rPr/>
        <w:t xml:space="preserve">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certain rule-based categorical exemption thresholds to chapter 43.21C RCW, found in WAC 197-11-800, have not been updated in recent years, and should be modified in light of the increased environmental protections in place under chapters 36.70A and 90.58 RCW, the current affordable housing crisis, and other laws. It is the intent of the legislature to direct the department of ecology to conduct expedited rule making to modify the thresholds for the categorical exemptions described under subsection (2) of this section.</w:t>
      </w:r>
    </w:p>
    <w:p>
      <w:pPr>
        <w:spacing w:before="0" w:after="0" w:line="408" w:lineRule="exact"/>
        <w:ind w:left="0" w:right="0" w:firstLine="576"/>
        <w:jc w:val="left"/>
      </w:pPr>
      <w:r>
        <w:rPr/>
        <w:t xml:space="preserve">(2) By December 31, 2022, the department of ecology shall modify the rule-based categorical exemptions to chapter 43.21C RCW found in WAC 197-11-800 as follows:</w:t>
      </w:r>
    </w:p>
    <w:p>
      <w:pPr>
        <w:spacing w:before="0" w:after="0" w:line="408" w:lineRule="exact"/>
        <w:ind w:left="0" w:right="0" w:firstLine="576"/>
        <w:jc w:val="left"/>
      </w:pPr>
      <w:r>
        <w:rPr/>
        <w:t xml:space="preserve">(a) Include four attached single-family residential units to the current exemption under WAC 197-11-800(1)(b)(i);</w:t>
      </w:r>
    </w:p>
    <w:p>
      <w:pPr>
        <w:spacing w:before="0" w:after="0" w:line="408" w:lineRule="exact"/>
        <w:ind w:left="0" w:right="0" w:firstLine="576"/>
        <w:jc w:val="left"/>
      </w:pPr>
      <w:r>
        <w:rPr/>
        <w:t xml:space="preserve">(b) Create a new exemption level under WAC 197-11-800(1)(d) for single-family residential project types with a total square footage of fewer than 1,500 square feet in incorporated urban growth areas of at least 100 units;</w:t>
      </w:r>
    </w:p>
    <w:p>
      <w:pPr>
        <w:spacing w:before="0" w:after="0" w:line="408" w:lineRule="exact"/>
        <w:ind w:left="0" w:right="0" w:firstLine="576"/>
        <w:jc w:val="left"/>
      </w:pPr>
      <w:r>
        <w:rPr/>
        <w:t xml:space="preserve">(c) Increase the exemption level under WAC 197-11-800(1)(d) for multifamily residential project types in incorporated urban growth areas from 60 units to 200 units; and</w:t>
      </w:r>
    </w:p>
    <w:p>
      <w:pPr>
        <w:spacing w:before="0" w:after="0" w:line="408" w:lineRule="exact"/>
        <w:ind w:left="0" w:right="0" w:firstLine="576"/>
        <w:jc w:val="left"/>
      </w:pPr>
      <w:r>
        <w:rPr/>
        <w:t xml:space="preserve">(d) Add the following sentence to WAC 197-11-800(1)(c)(i): "The city, town, or county must document the result of its outreach with the department of transportation on impacts to state-owned transportation facilities, including consideration of whether mitigation is necessary for impacts to state-owned transportation facilities."</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Any applicant whose project qualifies as exempt or categorically exempt under either this chapter or under rules adopted pursuant to this chapter is not required to file an environmental checklist if other information is available to establish that a project qualifies for an exemption.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c8717d99a697416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e6391949f64177" /><Relationship Type="http://schemas.openxmlformats.org/officeDocument/2006/relationships/footer" Target="/word/footer1.xml" Id="Rc8717d99a6974161" /></Relationships>
</file>