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b2c1aad17347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5847</w:t>
      </w:r>
    </w:p>
    <w:p>
      <w:pPr>
        <w:jc w:val="center"/>
        <w:spacing w:before="480" w:after="0" w:line="240"/>
      </w:pPr>
      <w:r>
        <w:t xml:space="preserve">Chapter </w:t>
      </w:r>
      <w:r>
        <w:rPr/>
        <w:t xml:space="preserve">248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SERVICE LOAN FORGIVENESS PROGRAM—PUBLIC SERVICE EMPLOYEES</w:t>
      </w:r>
    </w:p>
    <w:p>
      <w:pPr>
        <w:spacing w:before="720" w:after="240" w:line="240" w:lineRule="exact"/>
        <w:ind w:left="0" w:right="0" w:firstLine="0"/>
        <w:jc w:val="center"/>
      </w:pPr>
      <w:r>
        <w:t xml:space="preserve">EFFECTIVE DATE: </w:t>
      </w:r>
      <w:r>
        <w:rPr/>
        <w:t xml:space="preserve">March 30,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33</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66</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Liias, Randall, Das, Hasegawa, Keiser, Kuderer, Lovick, Nguyen, Nobles, Saldaña, and C.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public service employees about the public service loan forgiveness program; adding a new section to chapter 28B.77 RCW; adding a new section to chapter 43.41 RCW; adding new sections to chapter 41.04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and may apply it retroactively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5a38bcf2e2847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cf563ec8d4fb0" /><Relationship Type="http://schemas.openxmlformats.org/officeDocument/2006/relationships/footer" Target="/word/footer1.xml" Id="Re5a38bcf2e284777" /></Relationships>
</file>