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e7566b61749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5855</w:t>
      </w:r>
    </w:p>
    <w:p>
      <w:pPr>
        <w:jc w:val="center"/>
        <w:spacing w:before="480" w:after="0" w:line="240"/>
      </w:pPr>
      <w:r>
        <w:t xml:space="preserve">Chapter </w:t>
      </w:r>
      <w:r>
        <w:rPr/>
        <w:t xml:space="preserve">174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USE OF CAMPAIGN FUNDS—REIMBURSEMENT FOR OUT-OF-POCKET EXPENSES—CHILD CARE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Lovelett, Nobles, C. Wilson, Billig, Das, Hasegawa, Hawkins, Hunt, Keiser, Kuderer, Nguyen, Randall, Saldaña, Stanford, and Trudeau</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campaign funds to reimburse expenses for child care and other caregiving services; and amending RCW 42.17A.445.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w:t>
      </w:r>
    </w:p>
    <w:p>
      <w:pPr>
        <w:spacing w:before="0" w:after="0" w:line="408" w:lineRule="exact"/>
        <w:ind w:left="0" w:right="0" w:firstLine="576"/>
        <w:jc w:val="left"/>
      </w:pPr>
      <w:r>
        <w:rPr/>
        <w:t xml:space="preserve">(2) Reimbursement for direct out-of-pocket election campaign and postelection campaign related expenses made by the individual. </w:t>
      </w:r>
      <w:r>
        <w:rPr>
          <w:u w:val="single"/>
        </w:rPr>
        <w:t xml:space="preserve">For example, expenses for child care or other direct caregiving responsibilities may be reimbursed if they are incurred directly as a result of the candidate's campaign activities.</w:t>
      </w:r>
      <w:r>
        <w:rPr/>
        <w:t xml:space="preserve">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four thousand seven hundred dollars made by the candidate to the candidate's own authorized committee.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09c21591a0884a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0944c7ef342e4" /><Relationship Type="http://schemas.openxmlformats.org/officeDocument/2006/relationships/footer" Target="/word/footer1.xml" Id="R09c21591a0884ae9" /></Relationships>
</file>