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7b22a906e49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Hackney, Fitzgibbon, Berry, Bateman, Macri, Ramel, Senn, Wylie, Bergquist, Valdez, Pollet,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stations in common interest communities; amending RCW 64.34.425 and 64.90.640;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an apartment owner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An association of apartment owners may require an apartment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an association of apartment owners must approve the installation in a designated parking space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apartment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apartment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An apartment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apartment owner's cost and is removable without damage to the property owned by others may be removed at the apartment owner's cost. Nothing in this subsection requires the association to purchase the electric vehicle charging station.</w:t>
      </w:r>
    </w:p>
    <w:p>
      <w:pPr>
        <w:spacing w:before="0" w:after="0" w:line="408" w:lineRule="exact"/>
        <w:ind w:left="0" w:right="0" w:firstLine="576"/>
        <w:jc w:val="left"/>
      </w:pPr>
      <w:r>
        <w:rPr/>
        <w:t xml:space="preserve">(7) An apartment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apartment,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An association of apartment owners may install an electric vehicle charging station in the common areas for the use of all apartment owners and, in that case, the association must develop appropriate terms of use for the charging station.</w:t>
      </w:r>
    </w:p>
    <w:p>
      <w:pPr>
        <w:spacing w:before="0" w:after="0" w:line="408" w:lineRule="exact"/>
        <w:ind w:left="0" w:right="0" w:firstLine="576"/>
        <w:jc w:val="left"/>
      </w:pPr>
      <w:r>
        <w:rPr/>
        <w:t xml:space="preserve">(10)(a)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an electric vehicle charging station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apartment owner, including a garage, a deeded parking space, and a parking space in a limited common area that is restricted for use by one or more apartment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unit owners'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lot owner, within the boundaries of a lot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homeowners' association may require a lot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homeowners' association may not assess or charge a lot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homeowners' association must approve the installation within the boundaries of a lot or in a designated parking space if the installation is reasonably possible and the lot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 Register the electric vehicle charging station with the association within 30 days after installation;</w:t>
      </w:r>
    </w:p>
    <w:p>
      <w:pPr>
        <w:spacing w:before="0" w:after="0" w:line="408" w:lineRule="exact"/>
        <w:ind w:left="0" w:right="0" w:firstLine="576"/>
        <w:jc w:val="left"/>
      </w:pPr>
      <w:r>
        <w:rPr/>
        <w:t xml:space="preserve">(d)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(e) Comply with the requirements of this section.</w:t>
      </w:r>
    </w:p>
    <w:p>
      <w:pPr>
        <w:spacing w:before="0" w:after="0" w:line="408" w:lineRule="exact"/>
        <w:ind w:left="0" w:right="0" w:firstLine="576"/>
        <w:jc w:val="left"/>
      </w:pPr>
      <w:r>
        <w:rPr/>
        <w:t xml:space="preserve">(5)(a) A lot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 lot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lot owner's cost and is removable without damage to the property owned by others may be removed at the lot owner's cost. Nothing in this subsection requires the association to purchase the electric vehicle charging station.</w:t>
      </w:r>
    </w:p>
    <w:p>
      <w:pPr>
        <w:spacing w:before="0" w:after="0" w:line="408" w:lineRule="exact"/>
        <w:ind w:left="0" w:right="0" w:firstLine="576"/>
        <w:jc w:val="left"/>
      </w:pPr>
      <w:r>
        <w:rPr/>
        <w:t xml:space="preserve">(7) A lot owner must disclose to any prospective buyers of the lot: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lot,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(e)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A homeowners' association may install an electric vehicle charging station in the common area for the use of all lot owners and, in that case, the association must develop appropriate terms of use for the charging station.</w:t>
      </w:r>
    </w:p>
    <w:p>
      <w:pPr>
        <w:spacing w:before="0" w:after="0" w:line="408" w:lineRule="exact"/>
        <w:ind w:left="0" w:right="0" w:firstLine="576"/>
        <w:jc w:val="left"/>
      </w:pPr>
      <w:r>
        <w:rPr/>
        <w:t xml:space="preserve">(10)(a) A homeowners' association that willfully violates this section is liable to the lot owner for actual damages, and shall pay a civil penalty to the lot owner in an amount not to exceed $1,000.</w:t>
      </w:r>
    </w:p>
    <w:p>
      <w:pPr>
        <w:spacing w:before="0" w:after="0" w:line="408" w:lineRule="exact"/>
        <w:ind w:left="0" w:right="0" w:firstLine="576"/>
        <w:jc w:val="left"/>
      </w:pPr>
      <w:r>
        <w:rPr/>
        <w:t xml:space="preserve">(b) In any action by a lot owner requesting to have an electric vehicle charging station installed and seeking to enforce compliance with this section, the court shall award reasonable attorneys' fees and costs to any prevailing lot owner.</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lot owner, including a garage, a deeded parking space, and a parking space in a limited common area that is restricted for use by one or more lot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in a common interest community other than an association of single-family homes, site condominiums, or a planned use development where the units are not immediately adjacent;</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Nothing in this subsection requires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(10)(a)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 </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425</w:t>
      </w:r>
      <w:r>
        <w:rPr/>
        <w:t xml:space="preserve"> and 2011 c 48 s 1 are each amended to read as follows:</w:t>
      </w:r>
    </w:p>
    <w:p>
      <w:pPr>
        <w:spacing w:before="0" w:after="0" w:line="408" w:lineRule="exact"/>
        <w:ind w:left="0" w:right="0" w:firstLine="576"/>
        <w:jc w:val="left"/>
      </w:pPr>
      <w:r>
        <w:rPr/>
        <w:t xml:space="preserve">(1) Except in the case of a sale where delivery of a public offering statement is required, or unless exempt under RCW 64.34.400(2), a unit owner shall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A statement setting forth the amount of the monthly common expense assessment and any unpaid common expense or special assessment currently due and payable from the selling unit owner and a statement of any special assessments that have been levied against the unit which have not been paid even though not yet due;</w:t>
      </w:r>
    </w:p>
    <w:p>
      <w:pPr>
        <w:spacing w:before="0" w:after="0" w:line="408" w:lineRule="exact"/>
        <w:ind w:left="0" w:right="0" w:firstLine="576"/>
        <w:jc w:val="left"/>
      </w:pPr>
      <w:r>
        <w:rPr/>
        <w:t xml:space="preserve">(c) A statement, which shall be current to within </w:t>
      </w:r>
      <w:r>
        <w:t>((</w:t>
      </w:r>
      <w:r>
        <w:rPr>
          <w:strike/>
        </w:rPr>
        <w:t xml:space="preserve">forty-five</w:t>
      </w:r>
      <w:r>
        <w:t>))</w:t>
      </w:r>
      <w:r>
        <w:rPr/>
        <w:t xml:space="preserve"> </w:t>
      </w:r>
      <w:r>
        <w:rPr>
          <w:u w:val="single"/>
        </w:rPr>
        <w:t xml:space="preserve">45</w:t>
      </w:r>
      <w:r>
        <w:rPr/>
        <w:t xml:space="preserve"> days, of any common expenses or special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shall be current to within </w:t>
      </w:r>
      <w:r>
        <w:t>((</w:t>
      </w:r>
      <w:r>
        <w:rPr>
          <w:strike/>
        </w:rPr>
        <w:t xml:space="preserve">forty-five</w:t>
      </w:r>
      <w:r>
        <w:t>))</w:t>
      </w:r>
      <w:r>
        <w:rPr/>
        <w:t xml:space="preserve"> </w:t>
      </w:r>
      <w:r>
        <w:rPr>
          <w:u w:val="single"/>
        </w:rPr>
        <w:t xml:space="preserve">45</w:t>
      </w:r>
      <w:r>
        <w:rPr/>
        <w:t xml:space="preserve"> days, of any obligation of the association which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by unit owners;</w:t>
      </w:r>
    </w:p>
    <w:p>
      <w:pPr>
        <w:spacing w:before="0" w:after="0" w:line="408" w:lineRule="exact"/>
        <w:ind w:left="0" w:right="0" w:firstLine="576"/>
        <w:jc w:val="left"/>
      </w:pPr>
      <w:r>
        <w:rPr/>
        <w:t xml:space="preserve">(f) A statement of any anticipated repair or replacement cost in excess of five percent of the annual budget of the association that has been approved by the board of directors;</w:t>
      </w:r>
    </w:p>
    <w:p>
      <w:pPr>
        <w:spacing w:before="0" w:after="0" w:line="408" w:lineRule="exact"/>
        <w:ind w:left="0" w:right="0" w:firstLine="576"/>
        <w:jc w:val="left"/>
      </w:pPr>
      <w:r>
        <w:rPr/>
        <w:t xml:space="preserve">(g) A statement of the amount of any reserves for repair or replacement and of any portions of those reserves currently designated by the association for any specified projects;</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A balance sheet and a revenue and expense statement of the association prepared on an accrual basis, which shall be current to within </w:t>
      </w:r>
      <w:r>
        <w:t>((</w:t>
      </w:r>
      <w:r>
        <w:rPr>
          <w:strike/>
        </w:rPr>
        <w:t xml:space="preserve">one hundred twenty</w:t>
      </w:r>
      <w:r>
        <w:t>))</w:t>
      </w:r>
      <w:r>
        <w:rPr/>
        <w:t xml:space="preserve"> </w:t>
      </w:r>
      <w:r>
        <w:rPr>
          <w:u w:val="single"/>
        </w:rPr>
        <w:t xml:space="preserve">120</w:t>
      </w:r>
      <w:r>
        <w:rPr/>
        <w:t xml:space="preserve"> days;</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pending suits or legal proceedings in which the association is a plaintiff or defendant;</w:t>
      </w:r>
    </w:p>
    <w:p>
      <w:pPr>
        <w:spacing w:before="0" w:after="0" w:line="408" w:lineRule="exact"/>
        <w:ind w:left="0" w:right="0" w:firstLine="576"/>
        <w:jc w:val="left"/>
      </w:pPr>
      <w:r>
        <w:rPr/>
        <w:t xml:space="preserve">(l) A statement describing any insurance coverage provided for the benefit of unit owners;</w:t>
      </w:r>
    </w:p>
    <w:p>
      <w:pPr>
        <w:spacing w:before="0" w:after="0" w:line="408" w:lineRule="exact"/>
        <w:ind w:left="0" w:right="0" w:firstLine="576"/>
        <w:jc w:val="left"/>
      </w:pPr>
      <w:r>
        <w:rPr/>
        <w:t xml:space="preserve">(m) A statement as to whether there are any alterations or improvements to the unit or to the limited common elements assigned thereto that violate any provision of the declaration;</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there are any violations of the health or building codes with respect to the unit, the limited common elements assigned thereto, or any other portion of the condominium;</w:t>
      </w:r>
    </w:p>
    <w:p>
      <w:pPr>
        <w:spacing w:before="0" w:after="0" w:line="408" w:lineRule="exact"/>
        <w:ind w:left="0" w:right="0" w:firstLine="576"/>
        <w:jc w:val="left"/>
      </w:pPr>
      <w:r>
        <w:rPr/>
        <w:t xml:space="preserve">(p) A statement of the remaining term of any leasehold estate affecting the condominium and the provisions governing any extension or renewal thereof;</w:t>
      </w:r>
    </w:p>
    <w:p>
      <w:pPr>
        <w:spacing w:before="0" w:after="0" w:line="408" w:lineRule="exact"/>
        <w:ind w:left="0" w:right="0" w:firstLine="576"/>
        <w:jc w:val="left"/>
      </w:pPr>
      <w:r>
        <w:rPr/>
        <w:t xml:space="preserve">(q) A copy of the declaration, the bylaws, the rules or regulations of the association, the association's current reserve study, if any,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shall be deemed reasonable, provided such information is reasonably available to the association;</w:t>
      </w:r>
    </w:p>
    <w:p>
      <w:pPr>
        <w:spacing w:before="0" w:after="0" w:line="408" w:lineRule="exact"/>
        <w:ind w:left="0" w:right="0" w:firstLine="576"/>
        <w:jc w:val="left"/>
      </w:pPr>
      <w:r>
        <w:rPr/>
        <w:t xml:space="preserve">(r) A statement, as required by RCW 64.35.210, as to whether the units or common elements of the condominium are covered by a qualified warranty, and a history of claims under any such warranty; </w:t>
      </w:r>
      <w:r>
        <w:t>((</w:t>
      </w:r>
      <w:r>
        <w:rPr>
          <w:strike/>
        </w:rPr>
        <w:t xml:space="preserve">and</w:t>
      </w:r>
      <w:r>
        <w:t>))</w:t>
      </w:r>
    </w:p>
    <w:p>
      <w:pPr>
        <w:spacing w:before="0" w:after="0" w:line="408" w:lineRule="exact"/>
        <w:ind w:left="0" w:right="0" w:firstLine="576"/>
        <w:jc w:val="left"/>
      </w:pPr>
      <w:r>
        <w:rPr/>
        <w:t xml:space="preserve">(s) </w:t>
      </w:r>
      <w:r>
        <w:rPr>
          <w:u w:val="single"/>
        </w:rPr>
        <w:t xml:space="preserve">A statement describing any requirements related to electric vehicle charging stations located in the unit or the limited common elements assigned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(t)</w:t>
      </w:r>
      <w:r>
        <w:rPr/>
        <w:t xml:space="preserve"> If the association does not have a reserve study that has been prepared in accordance with RCW 64.34.380 and 64.34.382 or its governing documents, the following disclosure:</w:t>
      </w:r>
    </w:p>
    <w:p>
      <w:pPr>
        <w:spacing w:before="120" w:after="0" w:line="408" w:lineRule="exact"/>
        <w:ind w:left="576" w:right="576"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12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payment of any fee imposed pursuant to RCW 64.34.304(1)(l), shall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for updating a resale certificate within six months of the unit owner's request. The unit owner shall also sign the certificate but the unit owner is not liable to the purchaser for any erroneous information provided by the association and included in the certificate unless and to the extent the unit owner had actual knowledge thereof.</w:t>
      </w:r>
    </w:p>
    <w:p>
      <w:pPr>
        <w:spacing w:before="0" w:after="0" w:line="408" w:lineRule="exact"/>
        <w:ind w:left="0" w:right="0" w:firstLine="576"/>
        <w:jc w:val="left"/>
      </w:pPr>
      <w:r>
        <w:rPr/>
        <w:t xml:space="preserve">(3) A purchaser is not liable for any unpaid assessment or fee against the unit as of the date of the certificate greater than the amount set forth in the certificate prepared by the association unless and to the extent such purchaser had actual knowledge thereof. A unit owner is not liable to a purchaser for the failure or delay of the association to provide the certificate in a timely manner, but the purchaser's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2018 c 277 s 409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w:t>
      </w:r>
      <w:r>
        <w:t>((</w:t>
      </w:r>
      <w:r>
        <w:rPr>
          <w:strike/>
        </w:rPr>
        <w:t xml:space="preserve">forty-five</w:t>
      </w:r>
      <w:r>
        <w:t>))</w:t>
      </w:r>
      <w:r>
        <w:rPr/>
        <w:t xml:space="preserve"> </w:t>
      </w:r>
      <w:r>
        <w:rPr>
          <w:u w:val="single"/>
        </w:rPr>
        <w:t xml:space="preserve">45</w:t>
      </w:r>
      <w:r>
        <w:rPr/>
        <w:t xml:space="preserve"> days, of any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must be current to within </w:t>
      </w:r>
      <w:r>
        <w:t>((</w:t>
      </w:r>
      <w:r>
        <w:rPr>
          <w:strike/>
        </w:rPr>
        <w:t xml:space="preserve">forty-five</w:t>
      </w:r>
      <w:r>
        <w:t>))</w:t>
      </w:r>
      <w:r>
        <w:rPr/>
        <w:t xml:space="preserve"> </w:t>
      </w:r>
      <w:r>
        <w:rPr>
          <w:u w:val="single"/>
        </w:rPr>
        <w:t xml:space="preserve">45</w:t>
      </w:r>
      <w:r>
        <w:rPr/>
        <w:t xml:space="preserve"> days, of any monetary obligation of the association that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w:t>
      </w:r>
      <w:r>
        <w:t>((</w:t>
      </w:r>
      <w:r>
        <w:rPr>
          <w:strike/>
        </w:rPr>
        <w:t xml:space="preserve">twelve</w:t>
      </w:r>
      <w:r>
        <w:t>))</w:t>
      </w:r>
      <w:r>
        <w:rPr/>
        <w:t xml:space="preserve"> </w:t>
      </w:r>
      <w:r>
        <w:rPr>
          <w:u w:val="single"/>
        </w:rPr>
        <w:t xml:space="preserve">12</w:t>
      </w:r>
      <w:r>
        <w:rPr/>
        <w:t xml:space="preser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w:t>
      </w:r>
      <w:r>
        <w:t>((</w:t>
      </w:r>
      <w:r>
        <w:rPr>
          <w:strike/>
        </w:rPr>
        <w:t xml:space="preserve">and</w:t>
      </w:r>
      <w:r>
        <w:t>))</w:t>
      </w:r>
    </w:p>
    <w:p>
      <w:pPr>
        <w:spacing w:before="0" w:after="0" w:line="408" w:lineRule="exact"/>
        <w:ind w:left="0" w:right="0" w:firstLine="576"/>
        <w:jc w:val="left"/>
      </w:pPr>
      <w:r>
        <w:rPr/>
        <w:t xml:space="preserve">(x) </w:t>
      </w:r>
      <w:r>
        <w:rPr>
          <w:u w:val="single"/>
        </w:rPr>
        <w:t xml:space="preserve">A statement describing any requirements related to electric vehicle charging stations located in the unit or the limited common elements allocated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(y)</w:t>
      </w:r>
      <w:r>
        <w:rPr/>
        <w:t xml:space="preserve">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not to exceed </w:t>
      </w:r>
      <w:r>
        <w:t>((</w:t>
      </w:r>
      <w:r>
        <w:rPr>
          <w:strike/>
        </w:rPr>
        <w:t xml:space="preserve">one hundred dollars</w:t>
      </w:r>
      <w:r>
        <w:t>))</w:t>
      </w:r>
      <w:r>
        <w:rPr/>
        <w:t xml:space="preserve"> </w:t>
      </w:r>
      <w:r>
        <w:rPr>
          <w:u w:val="single"/>
        </w:rPr>
        <w:t xml:space="preserve">$100</w:t>
      </w:r>
      <w:r>
        <w:rPr/>
        <w:t xml:space="preserve">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
      <w:pPr>
        <w:jc w:val="center"/>
      </w:pPr>
      <w:r>
        <w:rPr>
          <w:b/>
        </w:rPr>
        <w:t>--- END ---</w:t>
      </w:r>
    </w:p>
    <w:sectPr>
      <w:pgNumType w:start="1"/>
      <w:footerReference xmlns:r="http://schemas.openxmlformats.org/officeDocument/2006/relationships" r:id="R8083213dfcad4d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a772a6dbe4bb4" /><Relationship Type="http://schemas.openxmlformats.org/officeDocument/2006/relationships/footer" Target="/word/footer1.xml" Id="R8083213dfcad4d93" /></Relationships>
</file>