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f6502ca7a4def" /></Relationships>
</file>

<file path=word/document.xml><?xml version="1.0" encoding="utf-8"?>
<w:document xmlns:w="http://schemas.openxmlformats.org/wordprocessingml/2006/main">
  <w:body>
    <w:p>
      <w:r>
        <w:t>H-2541.1</w:t>
      </w:r>
    </w:p>
    <w:p>
      <w:pPr>
        <w:jc w:val="center"/>
      </w:pPr>
      <w:r>
        <w:t>_______________________________________________</w:t>
      </w:r>
    </w:p>
    <w:p/>
    <w:p>
      <w:pPr>
        <w:jc w:val="center"/>
      </w:pPr>
      <w:r>
        <w:rPr>
          <w:b/>
        </w:rPr>
        <w:t>SUBSTITUTE HOUSE BILL 1992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Bateman, Leavitt, Berry, Macri, Frame, Pollet, Bronoske, Taylor, Valdez, Slatter, Kloba, and MacEwen)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leave accrual for public employees; amending RCW 43.01.044, 41.32.010, 41.40.010, and 43.43.120; reenacting and amending RCW 43.01.040;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emphasized the need for employees to have access to leave for their own use and to comply with employer requirements for quarantine and isolation. Educators and public employees have been exposed at work and have needed to use leave when dependents are ill or exposed to the virus, sometimes leading to multiple instances of required isolation and quarantine, draining the leave balances of many employees. It is the intent of the legislature to allow employees to accumulate more leave to recognize the burdens that have been placed on frontline workers during the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w:t>
      </w:r>
      <w:r>
        <w:t>((</w:t>
      </w:r>
      <w:r>
        <w:rPr>
          <w:strike/>
        </w:rPr>
        <w:t xml:space="preserve">two hundred forty</w:t>
      </w:r>
      <w:r>
        <w:t>))</w:t>
      </w:r>
      <w:r>
        <w:rPr/>
        <w:t xml:space="preserve"> </w:t>
      </w:r>
      <w:r>
        <w:rPr>
          <w:u w:val="single"/>
        </w:rPr>
        <w:t xml:space="preserve">280</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w:t>
      </w:r>
      <w:r>
        <w:t>((</w:t>
      </w:r>
      <w:r>
        <w:rPr>
          <w:strike/>
        </w:rPr>
        <w:t xml:space="preserve">two hundred forty</w:t>
      </w:r>
      <w:r>
        <w:t>))</w:t>
      </w:r>
      <w:r>
        <w:rPr/>
        <w:t xml:space="preserve"> </w:t>
      </w:r>
      <w:r>
        <w:rPr>
          <w:u w:val="single"/>
        </w:rPr>
        <w:t xml:space="preserve">280</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two hundred forty</w:t>
      </w:r>
      <w:r>
        <w:t>))</w:t>
      </w:r>
      <w:r>
        <w:rPr/>
        <w:t xml:space="preserve"> </w:t>
      </w:r>
      <w:r>
        <w:rPr>
          <w:u w:val="single"/>
        </w:rPr>
        <w:t xml:space="preserve">280</w:t>
      </w:r>
      <w:r>
        <w:rPr/>
        <w:t xml:space="preserve"> hours with the filing of a statement of necessity, vacation leave in excess of </w:t>
      </w:r>
      <w:r>
        <w:t>((</w:t>
      </w:r>
      <w:r>
        <w:rPr>
          <w:strike/>
        </w:rPr>
        <w:t xml:space="preserve">two hundred forty</w:t>
      </w:r>
      <w:r>
        <w:t>))</w:t>
      </w:r>
      <w:r>
        <w:rPr/>
        <w:t xml:space="preserve"> </w:t>
      </w:r>
      <w:r>
        <w:rPr>
          <w:u w:val="single"/>
        </w:rPr>
        <w:t xml:space="preserve">280</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w:t>
      </w:r>
      <w:r>
        <w:t>((</w:t>
      </w:r>
      <w:r>
        <w:rPr>
          <w:strike/>
        </w:rPr>
        <w:t xml:space="preserve">two hundred forty</w:t>
      </w:r>
      <w:r>
        <w:t>))</w:t>
      </w:r>
      <w:r>
        <w:rPr/>
        <w:t xml:space="preserve"> </w:t>
      </w:r>
      <w:r>
        <w:rPr>
          <w:u w:val="single"/>
        </w:rPr>
        <w:t xml:space="preserve">280</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2021 c 12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(viii)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2021 c 12 s 7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w:t>
      </w:r>
      <w:r>
        <w:rPr>
          <w:u w:val="single"/>
        </w:rPr>
        <w:t xml:space="preserve">, and lump sum payments for unused accumulated vacation or annual leave in excess of 240 hours, plus hours earned since the member's anniversary date</w:t>
      </w:r>
      <w:r>
        <w:rPr/>
        <w:t xml:space="preserve">.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During a public health emergency where a presidential or gubernatorial declaration of emergency includes all or relevant areas of the state of Washington, each school district in the affected area shall establish a pool of paid leave that will be available to staff who become ill or need to quarantine and who have limited leave balances, with priority given to those with 10 days or less of available leave.</w:t>
      </w:r>
    </w:p>
    <w:p/>
    <w:p>
      <w:pPr>
        <w:jc w:val="center"/>
      </w:pPr>
      <w:r>
        <w:rPr>
          <w:b/>
        </w:rPr>
        <w:t>--- END ---</w:t>
      </w:r>
    </w:p>
    <w:sectPr>
      <w:pgNumType w:start="1"/>
      <w:footerReference xmlns:r="http://schemas.openxmlformats.org/officeDocument/2006/relationships" r:id="R627aedea7a454e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7be1a1aa54904" /><Relationship Type="http://schemas.openxmlformats.org/officeDocument/2006/relationships/footer" Target="/word/footer1.xml" Id="R627aedea7a454eb2" /></Relationships>
</file>