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0e80e2ee84cdc" /></Relationships>
</file>

<file path=word/document.xml><?xml version="1.0" encoding="utf-8"?>
<w:document xmlns:w="http://schemas.openxmlformats.org/wordprocessingml/2006/main">
  <w:body>
    <w:p>
      <w:r>
        <w:t>Z-0460.2</w:t>
      </w:r>
    </w:p>
    <w:p>
      <w:pPr>
        <w:jc w:val="center"/>
      </w:pPr>
      <w:r>
        <w:t>_______________________________________________</w:t>
      </w:r>
    </w:p>
    <w:p/>
    <w:p>
      <w:pPr>
        <w:jc w:val="center"/>
      </w:pPr>
      <w:r>
        <w:rPr>
          <w:b/>
        </w:rPr>
        <w:t>SENATE BILL 5744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Carlyle, Conway, Das, Kuderer, Mullet, Nobles, Pedersen, Saldaña, and Trudeau; by request of Office of Financial Management</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amending RCW 82.08.816 and 82.12.816; adding a new chapter to Title 82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(7)(d) of this section, or renewable and green electrolytic hydrogen; or</w:t>
      </w:r>
    </w:p>
    <w:p>
      <w:pPr>
        <w:spacing w:before="0" w:after="0" w:line="408" w:lineRule="exact"/>
        <w:ind w:left="0" w:right="0" w:firstLine="576"/>
        <w:jc w:val="left"/>
      </w:pPr>
      <w:r>
        <w:rPr/>
        <w:t xml:space="preserve">(c) Facilities to store electricity generated from renewable resources.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(5)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(6) "Manufacturing" has the same meaning as "to manufacture" in RCW 82.04.120.</w:t>
      </w:r>
    </w:p>
    <w:p>
      <w:pPr>
        <w:spacing w:before="0" w:after="0" w:line="408" w:lineRule="exact"/>
        <w:ind w:left="0" w:right="0" w:firstLine="576"/>
        <w:jc w:val="left"/>
      </w:pPr>
      <w:r>
        <w:rPr/>
        <w:t xml:space="preserve">(7)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emits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w:t>
      </w:r>
    </w:p>
    <w:p>
      <w:pPr>
        <w:spacing w:before="0" w:after="0" w:line="408" w:lineRule="exact"/>
        <w:ind w:left="0" w:right="0" w:firstLine="576"/>
        <w:jc w:val="left"/>
      </w:pPr>
      <w:r>
        <w:rPr/>
        <w:t xml:space="preserve">(d) Clean fuel with associated greenhouse gas emissions not exceeding 80 percent of the 2017 levels established under RCW 70A.535.020;</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Equipment used directly in the storage of electricity generated by renewable resources.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(10) "Person" has the same meaning as in RCW 82.04.030.</w:t>
      </w:r>
    </w:p>
    <w:p>
      <w:pPr>
        <w:spacing w:before="0" w:after="0" w:line="408" w:lineRule="exact"/>
        <w:ind w:left="0" w:right="0" w:firstLine="576"/>
        <w:jc w:val="left"/>
      </w:pPr>
      <w:r>
        <w:rPr/>
        <w:t xml:space="preserve">(11)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(12)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(13) "Recipient" means a person receiving a tax deferral under this chapter.</w:t>
      </w:r>
    </w:p>
    <w:p>
      <w:pPr>
        <w:spacing w:before="0" w:after="0" w:line="408" w:lineRule="exact"/>
        <w:ind w:left="0" w:right="0" w:firstLine="576"/>
        <w:jc w:val="left"/>
      </w:pPr>
      <w:r>
        <w:rPr/>
        <w:t xml:space="preserve">(14) "Renewable resource" has the same meaning as in RCW 82.08.816.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 Nothing in this section reduces the amount of local sales and use taxes to be repaid under section 6 of this act. The recipient must repay all local sales and use taxes due under chapters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w:t>
      </w:r>
      <w:r>
        <w:rPr>
          <w:u w:val="single"/>
        </w:rPr>
        <w:t xml:space="preserve">and</w:t>
      </w:r>
      <w:r>
        <w:rPr/>
        <w:t xml:space="preserve"> fueling stations that provide hydrogen for fuel cell electric vehicles</w:t>
      </w:r>
      <w:r>
        <w:t>((</w:t>
      </w:r>
      <w:r>
        <w:rPr>
          <w:strike/>
        </w:rPr>
        <w:t xml:space="preserve">, and renewable hydrogen production facilities</w:t>
      </w:r>
      <w:r>
        <w:t>))</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w:t>
      </w:r>
      <w:r>
        <w:rPr>
          <w:u w:val="single"/>
        </w:rPr>
        <w:t xml:space="preserve">and</w:t>
      </w:r>
      <w:r>
        <w:rPr/>
        <w:t xml:space="preserve"> fueling stations that provide hydrogen for fuel cell electric vehicles</w:t>
      </w:r>
      <w:r>
        <w:t>((</w:t>
      </w:r>
      <w:r>
        <w:rPr>
          <w:strike/>
        </w:rPr>
        <w:t xml:space="preserve">, and renewable hydrogen production facilities</w:t>
      </w:r>
      <w:r>
        <w:t>))</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5eb26ce49db45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03242d3cf4a91" /><Relationship Type="http://schemas.openxmlformats.org/officeDocument/2006/relationships/footer" Target="/word/footer1.xml" Id="Rb5eb26ce49db45c4" /></Relationships>
</file>