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ede0286326464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1110-S2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SENN</w:t>
        </w:r>
      </w:r>
      <w:r>
        <w:rPr>
          <w:b/>
        </w:rPr>
        <w:t xml:space="preserve"> </w:t>
        <w:r>
          <w:rPr/>
          <w:t xml:space="preserve">H1647.1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1110</w:t>
      </w:r>
      <w:r>
        <w:t xml:space="preserve"> -</w:t>
      </w:r>
      <w:r>
        <w:t xml:space="preserve"> </w:t>
        <w:t xml:space="preserve">H AMD TO H AMD (H-1612.1/23)</w:t>
      </w:r>
      <w:r>
        <w:t xml:space="preserve"> </w:t>
      </w:r>
      <w:r>
        <w:rPr>
          <w:b/>
        </w:rPr>
        <w:t xml:space="preserve">373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Senn</w:t>
      </w:r>
    </w:p>
    <w:p>
      <w:pPr>
        <w:jc w:val="right"/>
      </w:pPr>
      <w:r>
        <w:rPr>
          <w:b/>
        </w:rPr>
        <w:t xml:space="preserve">ADOPTED 03/06/2023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33, after "section 4" insert ", 5, or 6"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39, after "75,000" insert ", that are not within a contiguous urban growth area with the largest city in a county with a population of more than 275,000,"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38, after "act" insert "and for a city implementing the alternative density requirements under section 5 of this act"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after line 6,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5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36</w:t>
      </w:r>
      <w:r>
        <w:rPr/>
        <w:t xml:space="preserve">.</w:t>
      </w:r>
      <w:r>
        <w:t xml:space="preserve">70A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As an alternative to the density requirements in section 3(1)(b) of this act, cities with a population of less than 75,000 within a contiguous urban growth area with the largest city in a county with a population of more than 275,000, based on office of financial management population estimates, may authorize: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development of at least three units per lot on all lots zoned predominantly for residential use;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development of at least six units per lot on all lots zoned predominantly for residential use within one-half mile walking distance of a major transit stop;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development of at least four units per lot on all lots zoned predominantly for residential use if at least one unit is affordable housing."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16, after "section 3" strike "or 4" and insert ", 4, or 5"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28, after "section 3" strike "or 4" and insert ", 4, or 5"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Provides alternative density requirements for cities with a population of less than 75,000 within a contiguous urban growth area with the largest city in a county with a population of more than 275,000 that would allow development of: (a) At least three units on all residential lots; (b) at least six units on all residential lots within one-half mile walking distance of a major transit stop; and (c) at least four units on all residential lots if at least one unit is affordable housing, instead of complying with the same density requirements as cities with a population of at least 75,000.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Excludes cities choosing the alternative density requirements from provisions specifying that: (a) The capital facilities plan element required under the Growth Management Act is not required to be updated to accommodate the increased housing and population capacity until a city's next required comprehensive plan update on or after June 30, 2034; and (b) any city adopting development regulations to fully implement the density requirements are to be considered in compliance with certain antidisplacement policies under the GMA until June 30, 2032.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1c9e6456da40a2" /></Relationships>
</file>