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d5da5086843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1131-S2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COUT</w:t>
        </w:r>
      </w:r>
      <w:r>
        <w:rPr>
          <w:b/>
        </w:rPr>
        <w:t xml:space="preserve"> </w:t>
        <w:r>
          <w:rPr/>
          <w:t xml:space="preserve">H1600.1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Couture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23,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 producer responsibility organization formed under this chapter is considered a public agency for the purposes of chapter 42.30 RCW and must follow the requirements of the open public meetings act, chapter 42.30 RCW, as they apply to public agencies."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producer responsibility organizations are considered public agencies for purposes of the open public meetings act, and must comply with the requirements of that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4267fe7e744fc" /></Relationships>
</file>