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37ce72643f464d" /></Relationships>
</file>

<file path=word/document.xml><?xml version="1.0" encoding="utf-8"?>
<w:document xmlns:w="http://schemas.openxmlformats.org/wordprocessingml/2006/main">
  <w:body>
    <w:p>
      <w:r>
        <w:rPr>
          <w:b/>
        </w:rPr>
        <w:r>
          <w:rPr/>
          <w:t xml:space="preserve">1222-S</w:t>
        </w:r>
      </w:r>
      <w:r>
        <w:rPr>
          <w:b/>
        </w:rPr>
        <w:t xml:space="preserve"> </w:t>
        <w:t xml:space="preserve">AMH</w:t>
      </w:r>
      <w:r>
        <w:rPr>
          <w:b/>
        </w:rPr>
        <w:t xml:space="preserve"> </w:t>
        <w:r>
          <w:rPr/>
          <w:t xml:space="preserve">RICC</w:t>
        </w:r>
      </w:r>
      <w:r>
        <w:rPr>
          <w:b/>
        </w:rPr>
        <w:t xml:space="preserve"> </w:t>
        <w:r>
          <w:rPr/>
          <w:t xml:space="preserve">H1248.1</w:t>
        </w:r>
      </w:r>
      <w:r>
        <w:rPr>
          <w:b/>
        </w:rPr>
        <w:t xml:space="preserve"> - NOT FOR FLOOR USE</w:t>
      </w:r>
    </w:p>
    <w:p>
      <w:pPr>
        <w:ind w:left="0" w:right="0" w:firstLine="576"/>
      </w:pPr>
    </w:p>
    <w:p>
      <w:pPr>
        <w:spacing w:before="480" w:after="0" w:line="408" w:lineRule="exact"/>
      </w:pPr>
      <w:r>
        <w:rPr>
          <w:b/>
          <w:u w:val="single"/>
        </w:rPr>
        <w:t xml:space="preserve">SHB 1222</w:t>
      </w:r>
      <w:r>
        <w:t xml:space="preserve"> -</w:t>
      </w:r>
      <w:r>
        <w:t xml:space="preserve"> </w:t>
        <w:t xml:space="preserve">H AMD</w:t>
      </w:r>
      <w:r>
        <w:t xml:space="preserve"> </w:t>
      </w:r>
      <w:r>
        <w:rPr>
          <w:b/>
        </w:rPr>
        <w:t xml:space="preserve">19</w:t>
      </w:r>
    </w:p>
    <w:p>
      <w:pPr>
        <w:spacing w:before="0" w:after="0" w:line="408" w:lineRule="exact"/>
        <w:ind w:left="0" w:right="0" w:firstLine="576"/>
        <w:jc w:val="left"/>
      </w:pPr>
      <w:r>
        <w:rPr/>
        <w:t xml:space="preserve">By Representative Riccelli</w:t>
      </w:r>
    </w:p>
    <w:p>
      <w:pPr>
        <w:jc w:val="right"/>
      </w:pPr>
      <w:r>
        <w:rPr>
          <w:b/>
        </w:rPr>
        <w:t xml:space="preserve">ADOPTED AS AMENDED 02/28/2023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nongrandfathered group health plans other than small group health plans issued or renewed on or after January 1, 2024, a health carrier shall include coverage for hearing instruments, including bone conduction hearing devices. This section does not include coverage of over-the-counter hearing instruments.</w:t>
      </w:r>
    </w:p>
    <w:p>
      <w:pPr>
        <w:spacing w:before="0" w:after="0" w:line="408" w:lineRule="exact"/>
        <w:ind w:left="0" w:right="0" w:firstLine="576"/>
        <w:jc w:val="left"/>
      </w:pPr>
      <w:r>
        <w:rPr/>
        <w:t xml:space="preserve">(2) Coverage shall also include the initial assessment, fitting, adjustment, auditory training, and ear molds as necessary to maintain optimal fit. Coverage of the services in this subsection shall include services for enrollees who intend to obtain or have already obtained any hearing instrument, including an over-the-counter hearing instrument.</w:t>
      </w:r>
    </w:p>
    <w:p>
      <w:pPr>
        <w:spacing w:before="0" w:after="0" w:line="408" w:lineRule="exact"/>
        <w:ind w:left="0" w:right="0" w:firstLine="576"/>
        <w:jc w:val="left"/>
      </w:pPr>
      <w:r>
        <w:rPr/>
        <w:t xml:space="preserve">(3) A health carrier shall provide coverage for hearing instruments as provided in subsection (1) of this section at no less than $3,000 per ear with hearing loss every 36 months.</w:t>
      </w:r>
    </w:p>
    <w:p>
      <w:pPr>
        <w:spacing w:before="0" w:after="0" w:line="408" w:lineRule="exact"/>
        <w:ind w:left="0" w:right="0" w:firstLine="576"/>
        <w:jc w:val="left"/>
      </w:pPr>
      <w:r>
        <w:rPr/>
        <w:t xml:space="preserve">(4) The services and hearing instruments covered under this section are not subject to the enrollee's deductible unless the health plan is offered as a qualifying health plan for a health savings account. For such a qualifying health plan, the carrier may apply a deductible to coverage of the services covered under this section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(5) Coverage for a minor under 18 years of age shall be available under this section only after the minor has received medical clearance within the preceding six months from:</w:t>
      </w:r>
    </w:p>
    <w:p>
      <w:pPr>
        <w:spacing w:before="0" w:after="0" w:line="408" w:lineRule="exact"/>
        <w:ind w:left="0" w:right="0" w:firstLine="576"/>
        <w:jc w:val="left"/>
      </w:pPr>
      <w:r>
        <w:rPr/>
        <w:t xml:space="preserve">(a) An otolaryngologist for an initial evaluation of hearing loss; or</w:t>
      </w:r>
    </w:p>
    <w:p>
      <w:pPr>
        <w:spacing w:before="0" w:after="0" w:line="408" w:lineRule="exact"/>
        <w:ind w:left="0" w:right="0" w:firstLine="576"/>
        <w:jc w:val="left"/>
      </w:pPr>
      <w:r>
        <w:rPr/>
        <w:t xml:space="preserve">(b) A licensed physician, which indicates there has not been a substantial change in clinical status since the initial evaluation by an otolaryngologist.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"Hearing instrument" has the same meaning as defined in RCW 18.35.010.</w:t>
      </w:r>
    </w:p>
    <w:p>
      <w:pPr>
        <w:spacing w:before="0" w:after="0" w:line="408" w:lineRule="exact"/>
        <w:ind w:left="0" w:right="0" w:firstLine="576"/>
        <w:jc w:val="left"/>
      </w:pPr>
      <w:r>
        <w:rPr/>
        <w:t xml:space="preserve">(b) "Over-the-counter hearing instrument" has the same meaning as "over-the-counter hearing aid" in 21 C.F.R. Sec. 800.30 as of December 28,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2022 c 236 s 2 are each amended to read as follows:</w:t>
      </w:r>
    </w:p>
    <w:p>
      <w:pPr>
        <w:spacing w:before="0" w:after="0" w:line="408" w:lineRule="exact"/>
        <w:ind w:left="0" w:right="0" w:firstLine="576"/>
        <w:jc w:val="left"/>
      </w:pPr>
      <w:r>
        <w:rPr/>
        <w:t xml:space="preserve">(1)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ten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ten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t xml:space="preserve">(5) Upon authorization by the legislature to modify the state's essential health benefits benchmark plan under 45 C.F.R. Sec. 156.111, the commissioner shall include coverage for donor human milk </w:t>
      </w:r>
      <w:r>
        <w:rPr>
          <w:u w:val="single"/>
        </w:rPr>
        <w:t xml:space="preserve">under RCW 48.43.815</w:t>
      </w:r>
      <w:r>
        <w:rPr>
          <w:u w:val="single"/>
        </w:rPr>
        <w:t xml:space="preserve"> and hearing instruments and services required under section 1 of this act</w:t>
      </w:r>
      <w:r>
        <w:rPr/>
        <w:t xml:space="preserve"> in the updated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830</w:t>
      </w:r>
      <w:r>
        <w:rPr/>
        <w:t xml:space="preserve"> and 2018 c 159 s 1 are each amended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2019,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0" w:after="0" w:line="408" w:lineRule="exact"/>
        <w:ind w:left="0" w:right="0" w:firstLine="576"/>
        <w:jc w:val="left"/>
      </w:pPr>
      <w:r>
        <w:rPr>
          <w:u w:val="single"/>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employees and their covered dependents under this chapter issued or renewed on or after January 1, 2024, is subject to section 1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minimum benefit for hearing instruments to no less than $3,000 per ear with hearing loss.</w:t>
      </w:r>
    </w:p>
    <w:p>
      <w:pPr>
        <w:spacing w:before="0" w:after="0" w:line="408" w:lineRule="exact"/>
        <w:ind w:left="0" w:right="0" w:firstLine="576"/>
        <w:jc w:val="left"/>
      </w:pPr>
      <w:r>
        <w:rPr/>
        <w:t xml:space="preserve">Modifies the hearing instrument benefit for public employees and their dependents by expiring the current requirement to cover a hearing instrument every five years on December 31, 2023, and applying the coverage requirements found in the bill for health carriers to health plans offered to public employees and their dependents beginning January 1, 2024.</w:t>
      </w:r>
    </w:p>
    <w:p>
      <w:pPr>
        <w:spacing w:before="0" w:after="0" w:line="408" w:lineRule="exact"/>
        <w:ind w:left="0" w:right="0" w:firstLine="576"/>
        <w:jc w:val="left"/>
      </w:pPr>
      <w:r>
        <w:rPr/>
        <w:t xml:space="preserve">Removes the provision that provides an enrollee may choose a higher priced hearing instrument and pay the difference between the price of the hearing instrument and the benefit amount without financial or contractual penalty to the enrollee or to the in-network provider.</w:t>
      </w:r>
    </w:p>
    <w:p>
      <w:pPr>
        <w:spacing w:before="0" w:after="0" w:line="408" w:lineRule="exact"/>
        <w:ind w:left="0" w:right="0" w:firstLine="576"/>
        <w:jc w:val="left"/>
      </w:pPr>
      <w:r>
        <w:rPr/>
        <w:t xml:space="preserve">Makes technical language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a84a9c2373497b" /></Relationships>
</file>