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72822ee4f44a4" /></Relationships>
</file>

<file path=word/document.xml><?xml version="1.0" encoding="utf-8"?>
<w:document xmlns:w="http://schemas.openxmlformats.org/wordprocessingml/2006/main">
  <w:body>
    <w:p>
      <w:r>
        <w:rPr>
          <w:b/>
        </w:rPr>
        <w:r>
          <w:rPr/>
          <w:t xml:space="preserve">1269</w:t>
        </w:r>
      </w:r>
      <w:r>
        <w:rPr>
          <w:b/>
        </w:rPr>
        <w:t xml:space="preserve"> </w:t>
        <w:t xml:space="preserve">AMH</w:t>
      </w:r>
      <w:r>
        <w:rPr>
          <w:b/>
        </w:rPr>
        <w:t xml:space="preserve"> </w:t>
        <w:r>
          <w:rPr/>
          <w:t xml:space="preserve">RICC</w:t>
        </w:r>
      </w:r>
      <w:r>
        <w:rPr>
          <w:b/>
        </w:rPr>
        <w:t xml:space="preserve"> </w:t>
        <w:r>
          <w:rPr/>
          <w:t xml:space="preserve">H1618.1</w:t>
        </w:r>
      </w:r>
      <w:r>
        <w:rPr>
          <w:b/>
        </w:rPr>
        <w:t xml:space="preserve"> - NOT FOR FLOOR USE</w:t>
      </w:r>
    </w:p>
    <w:p>
      <w:pPr>
        <w:ind w:left="0" w:right="0" w:firstLine="576"/>
      </w:pPr>
    </w:p>
    <w:p>
      <w:pPr>
        <w:spacing w:before="480" w:after="0" w:line="408" w:lineRule="exact"/>
      </w:pPr>
      <w:r>
        <w:rPr>
          <w:b/>
          <w:u w:val="single"/>
        </w:rPr>
        <w:t xml:space="preserve">HB 1269</w:t>
      </w:r>
      <w:r>
        <w:t xml:space="preserve"> -</w:t>
      </w:r>
      <w:r>
        <w:t xml:space="preserve"> </w:t>
        <w:t xml:space="preserve">H AMD</w:t>
      </w:r>
      <w:r>
        <w:t xml:space="preserve"> </w:t>
      </w:r>
      <w:r>
        <w:rPr>
          <w:b/>
        </w:rPr>
        <w:t xml:space="preserve">277</w:t>
      </w:r>
    </w:p>
    <w:p>
      <w:pPr>
        <w:spacing w:before="0" w:after="0" w:line="408" w:lineRule="exact"/>
        <w:ind w:left="0" w:right="0" w:firstLine="576"/>
        <w:jc w:val="left"/>
      </w:pPr>
      <w:r>
        <w:rPr/>
        <w:t xml:space="preserve">By Representative Riccelli</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020</w:t>
      </w:r>
      <w:r>
        <w:rPr/>
        <w:t xml:space="preserve"> and 2022 c 153 s 2 are each amended to read as follows:</w:t>
      </w:r>
    </w:p>
    <w:p>
      <w:pPr>
        <w:spacing w:before="0" w:after="0" w:line="408" w:lineRule="exact"/>
        <w:ind w:left="0" w:right="0" w:firstLine="576"/>
        <w:jc w:val="left"/>
      </w:pP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w:t>
      </w:r>
      <w:r>
        <w:rPr>
          <w:u w:val="single"/>
        </w:rPr>
        <w:t xml:space="preserve">(a) The governor shall appoint the initial members of the board to serve staggered terms not to exceed five years.</w:t>
      </w:r>
      <w:r>
        <w:rPr/>
        <w:t xml:space="preserve"> Board members </w:t>
      </w:r>
      <w:r>
        <w:rPr>
          <w:u w:val="single"/>
        </w:rPr>
        <w:t xml:space="preserve">appointed thereafter</w:t>
      </w:r>
      <w:r>
        <w:rPr/>
        <w:t xml:space="preserve"> shall serve for a term of five years </w:t>
      </w:r>
      <w:r>
        <w:t>((</w:t>
      </w:r>
      <w:r>
        <w:rPr>
          <w:strike/>
        </w:rPr>
        <w:t xml:space="preserve">and members may be reappointed by the governor</w:t>
      </w:r>
      <w:r>
        <w:t>))</w:t>
      </w:r>
      <w:r>
        <w:rPr>
          <w:u w:val="single"/>
        </w:rPr>
        <w:t xml:space="preserve">.</w:t>
      </w:r>
    </w:p>
    <w:p>
      <w:pPr>
        <w:spacing w:before="0" w:after="0" w:line="408" w:lineRule="exact"/>
        <w:ind w:left="0" w:right="0" w:firstLine="576"/>
        <w:jc w:val="left"/>
      </w:pPr>
      <w:r>
        <w:rPr>
          <w:u w:val="single"/>
        </w:rPr>
        <w:t xml:space="preserve">(b) The governor may reappoint members</w:t>
      </w:r>
      <w:r>
        <w:rPr/>
        <w:t xml:space="preserve">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and one member who is a representative of the prescription drug industry, for each drug affordability review conducted by the board pursuant to RCW 70.405.040.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shall adopt rules governing their operation that shall include how and when the board will use and discuss confidential information that is exempt from public disclosure. </w:t>
      </w:r>
      <w:r>
        <w:t>((</w:t>
      </w:r>
      <w:r>
        <w:rPr>
          <w:strike/>
        </w:rPr>
        <w:t xml:space="preserve">The rules adopted under this subsection may not go into effect until at least 90 days after the next regular legislative session.</w:t>
      </w:r>
      <w:r>
        <w:t>))</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 All coordination and collaboration by the board pursuant to this subsection must comply with chapter 42.30 RCW, the open public meetings act.</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chapter 43.71C RCW, the all-payer health care claims database,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w:t>
      </w:r>
      <w:r>
        <w:t>((</w:t>
      </w:r>
      <w:r>
        <w:rPr>
          <w:strike/>
        </w:rPr>
        <w:t xml:space="preserve">$60,000</w:t>
      </w:r>
      <w:r>
        <w:t>))</w:t>
      </w:r>
      <w:r>
        <w:rPr/>
        <w:t xml:space="preserve"> </w:t>
      </w:r>
      <w:r>
        <w:rPr>
          <w:u w:val="single"/>
        </w:rPr>
        <w:t xml:space="preserve">$30,000</w:t>
      </w:r>
      <w:r>
        <w:rPr/>
        <w:t xml:space="preserve">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040</w:t>
      </w:r>
      <w:r>
        <w:rPr/>
        <w:t xml:space="preserve"> and 2022 c 153 s 4 are each amended to read as follows:</w:t>
      </w:r>
    </w:p>
    <w:p>
      <w:pPr>
        <w:spacing w:before="0" w:after="0" w:line="408" w:lineRule="exact"/>
        <w:ind w:left="0" w:right="0" w:firstLine="576"/>
        <w:jc w:val="left"/>
      </w:pPr>
      <w:r>
        <w:rPr/>
        <w:t xml:space="preserve">(1) The board may choose to conduct an affordability review of up to 24 prescription drugs per year identified pursuant to RCW 70.405.030.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RCW 70.405.020;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prescription drugs chosen for an affordability review, the board must determine whether the prescription drug has led or will lead to excess costs to patients. The board may examine publicly available information as well as collect confidential and proprietary information from the prescription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process for the assessment of a fine under this subsection shall be established by the authority in rule and is subject to review under the administrative procedure act, chapter 34.05 RCW. </w:t>
      </w:r>
      <w:r>
        <w:t>((</w:t>
      </w:r>
      <w:r>
        <w:rPr>
          <w:strike/>
        </w:rPr>
        <w:t xml:space="preserve">The rules adopted under this subsection may not go into effect until at least 90 days after the next regular legislative session.</w:t>
      </w:r>
      <w:r>
        <w:t>))</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confidential and not subject to public disclosure under chapter 42.56 RCW.</w:t>
      </w:r>
    </w:p>
    <w:p>
      <w:pPr>
        <w:spacing w:before="0" w:after="0" w:line="408" w:lineRule="exact"/>
        <w:ind w:left="0" w:right="0" w:firstLine="576"/>
        <w:jc w:val="left"/>
      </w:pPr>
      <w:r>
        <w:rPr/>
        <w:t xml:space="preserve">(8) The board shall publicize which prescription drugs are subject to an affordability review before the review begins.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050</w:t>
      </w:r>
      <w:r>
        <w:rPr/>
        <w:t xml:space="preserve"> and 2022 c 153 s 5 are each amended to read as follows:</w:t>
      </w:r>
    </w:p>
    <w:p>
      <w:pPr>
        <w:spacing w:before="0" w:after="0" w:line="408" w:lineRule="exact"/>
        <w:ind w:left="0" w:right="0" w:firstLine="576"/>
        <w:jc w:val="left"/>
      </w:pPr>
      <w:r>
        <w:rPr/>
        <w:t xml:space="preserve">(1) The authority must adopt rules setting forth a methodology established by the board for setting upper payment limits for prescription drugs the board has determined have led or will lead to excess costs based on its affordability review. </w:t>
      </w:r>
      <w:r>
        <w:t>((</w:t>
      </w:r>
      <w:r>
        <w:rPr>
          <w:strike/>
        </w:rPr>
        <w:t xml:space="preserve">The rules adopted under this subsection may not go into effect until at least 90 days after the next regular legislative session.</w:t>
      </w:r>
      <w:r>
        <w:t>))</w:t>
      </w:r>
      <w:r>
        <w:rPr/>
        <w:t xml:space="preserve">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w:t>
      </w:r>
      <w:r>
        <w:t>((</w:t>
      </w:r>
      <w:r>
        <w:rPr>
          <w:strike/>
        </w:rPr>
        <w:t xml:space="preserve">the upper payment limit may not go into effect until at least 90 days after the next regular legislative session and that</w:t>
      </w:r>
      <w:r>
        <w:t>))</w:t>
      </w:r>
      <w:r>
        <w:rPr/>
        <w:t xml:space="preserve">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060</w:t>
      </w:r>
      <w:r>
        <w:rPr/>
        <w:t xml:space="preserve"> and 2022 c 153 s 6 are each amended to read as follows:</w:t>
      </w:r>
    </w:p>
    <w:p>
      <w:pPr>
        <w:spacing w:before="0" w:after="0" w:line="408" w:lineRule="exact"/>
        <w:ind w:left="0" w:right="0" w:firstLine="576"/>
        <w:jc w:val="left"/>
      </w:pP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w:t>
      </w:r>
      <w:r>
        <w:t>((</w:t>
      </w:r>
      <w:r>
        <w:rPr>
          <w:strike/>
        </w:rPr>
        <w:t xml:space="preserve">January</w:t>
      </w:r>
      <w:r>
        <w:t>))</w:t>
      </w:r>
      <w:r>
        <w:rPr/>
        <w:t xml:space="preserve"> </w:t>
      </w:r>
      <w:r>
        <w:rPr>
          <w:u w:val="single"/>
        </w:rPr>
        <w:t xml:space="preserve">July</w:t>
      </w:r>
      <w:r>
        <w:rPr/>
        <w:t xml:space="preserve"> 1, </w:t>
      </w:r>
      <w:r>
        <w:t>((</w:t>
      </w:r>
      <w:r>
        <w:rPr>
          <w:strike/>
        </w:rPr>
        <w:t xml:space="preserve">2024</w:t>
      </w:r>
      <w:r>
        <w:t>))</w:t>
      </w:r>
      <w:r>
        <w:rPr/>
        <w:t xml:space="preserve"> </w:t>
      </w:r>
      <w:r>
        <w:rPr>
          <w:u w:val="single"/>
        </w:rPr>
        <w:t xml:space="preserve">2025</w:t>
      </w:r>
      <w:r>
        <w:rPr/>
        <w:t xml:space="preserve">,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070</w:t>
      </w:r>
      <w:r>
        <w:rPr/>
        <w:t xml:space="preserve"> and 2022 c 153 s 7 are each amended to read as follows:</w:t>
      </w:r>
    </w:p>
    <w:p>
      <w:pPr>
        <w:spacing w:before="0" w:after="0" w:line="408" w:lineRule="exact"/>
        <w:ind w:left="0" w:right="0" w:firstLine="576"/>
        <w:jc w:val="left"/>
      </w:pP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three-year ban if it agrees to make the drug available for sale in compliance with the upper payment limit.</w:t>
      </w:r>
    </w:p>
    <w:p>
      <w:pPr>
        <w:spacing w:before="0" w:after="0" w:line="408" w:lineRule="exact"/>
        <w:ind w:left="0" w:right="0" w:firstLine="576"/>
        <w:jc w:val="left"/>
      </w:pPr>
      <w:r>
        <w:t>((</w:t>
      </w:r>
      <w:r>
        <w:rPr>
          <w:strike/>
        </w:rPr>
        <w:t xml:space="preserve">(4) The rules adopted under this section may not go into effect until at least 90 days after the next regular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090</w:t>
      </w:r>
      <w:r>
        <w:rPr/>
        <w:t xml:space="preserve"> and 2022 c 153 s 9 are each amended to read as follows:</w:t>
      </w:r>
    </w:p>
    <w:p>
      <w:pPr>
        <w:spacing w:before="0" w:after="0" w:line="408" w:lineRule="exact"/>
        <w:ind w:left="0" w:right="0" w:firstLine="576"/>
        <w:jc w:val="left"/>
      </w:pPr>
      <w:r>
        <w:rPr/>
        <w:t xml:space="preserve">The authority may adopt any rules necessary to implement this chapter. </w:t>
      </w:r>
      <w:r>
        <w:t>((</w:t>
      </w:r>
      <w:r>
        <w:rPr>
          <w:strike/>
        </w:rPr>
        <w:t xml:space="preserve">The rules adopted under this section may not go into effect until at least 90 days after the next regular legislative session.</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existing statutory provisions except for the following: Eliminating the requirement that rules adopted by the Health Care Authority and upper payment limits adopted by the Prescription Drug Affordability Board (Board) not go into effect until at least 90 days after the next regular session; staggering the terms of appointees to the Board; and delaying implementation of the Board's establishment of the formula to calculate savings resulting from reduced costs to consumers. Lowers the benchmark threshold for brand name prescription drugs to $30,000 or more per year instead of $60,000 or more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cbf899017040c6" /></Relationships>
</file>