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c4117185943cd" /></Relationships>
</file>

<file path=word/document.xml><?xml version="1.0" encoding="utf-8"?>
<w:document xmlns:w="http://schemas.openxmlformats.org/wordprocessingml/2006/main">
  <w:body>
    <w:p>
      <w:r>
        <w:rPr>
          <w:b/>
        </w:rPr>
        <w:r>
          <w:rPr/>
          <w:t xml:space="preserve">1282-S</w:t>
        </w:r>
      </w:r>
      <w:r>
        <w:rPr>
          <w:b/>
        </w:rPr>
        <w:t xml:space="preserve"> </w:t>
        <w:t xml:space="preserve">AMH</w:t>
      </w:r>
      <w:r>
        <w:rPr>
          <w:b/>
        </w:rPr>
        <w:t xml:space="preserve"> </w:t>
        <w:r>
          <w:rPr/>
          <w:t xml:space="preserve">DUER</w:t>
        </w:r>
      </w:r>
      <w:r>
        <w:rPr>
          <w:b/>
        </w:rPr>
        <w:t xml:space="preserve"> </w:t>
        <w:r>
          <w:rPr/>
          <w:t xml:space="preserve">H1646.1</w:t>
        </w:r>
      </w:r>
      <w:r>
        <w:rPr>
          <w:b/>
        </w:rPr>
        <w:t xml:space="preserve"> - NOT FOR FLOOR USE</w:t>
      </w:r>
    </w:p>
    <w:p>
      <w:pPr>
        <w:ind w:left="0" w:right="0" w:firstLine="576"/>
      </w:pPr>
    </w:p>
    <w:p>
      <w:pPr>
        <w:spacing w:before="480" w:after="0" w:line="408" w:lineRule="exact"/>
      </w:pPr>
      <w:r>
        <w:rPr>
          <w:b/>
          <w:u w:val="single"/>
        </w:rPr>
        <w:t xml:space="preserve">SHB 1282</w:t>
      </w:r>
      <w:r>
        <w:t xml:space="preserve"> -</w:t>
      </w:r>
      <w:r>
        <w:t xml:space="preserve"> </w:t>
        <w:t xml:space="preserve">H AMD</w:t>
      </w:r>
      <w:r>
        <w:t xml:space="preserve"> </w:t>
      </w:r>
      <w:r>
        <w:rPr>
          <w:b/>
        </w:rPr>
        <w:t xml:space="preserve">376</w:t>
      </w:r>
    </w:p>
    <w:p>
      <w:pPr>
        <w:spacing w:before="0" w:after="0" w:line="408" w:lineRule="exact"/>
        <w:ind w:left="0" w:right="0" w:firstLine="576"/>
        <w:jc w:val="left"/>
      </w:pPr>
      <w:r>
        <w:rPr/>
        <w:t xml:space="preserve">By Representative Duerr</w:t>
      </w:r>
    </w:p>
    <w:p>
      <w:pPr>
        <w:jc w:val="right"/>
      </w:pPr>
      <w:r>
        <w:rPr>
          <w:b/>
        </w:rPr>
        <w:t xml:space="preserve">ADOPTED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To the extent feasible,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One representative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A representative from a labor union that represents manufacturing workers;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work group as described in this section.</w:t>
      </w:r>
    </w:p>
    <w:p>
      <w:pPr>
        <w:spacing w:before="0" w:after="0" w:line="408" w:lineRule="exact"/>
        <w:ind w:left="0" w:right="0" w:firstLine="576"/>
        <w:jc w:val="left"/>
      </w:pPr>
      <w:r>
        <w:rPr/>
        <w:t xml:space="preserve">(2)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(3) By September 1, 2024,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product life-cycle assessments conducted by project designers could be incorporated into future reporting.</w:t>
      </w:r>
    </w:p>
    <w:p>
      <w:pPr>
        <w:spacing w:before="0" w:after="0" w:line="408" w:lineRule="exact"/>
        <w:ind w:left="0" w:right="0" w:firstLine="576"/>
        <w:jc w:val="left"/>
      </w:pPr>
      <w:r>
        <w:rPr/>
        <w:t xml:space="preserve">(4)(a) By September 1, 2025, the technical work group must submit a report on policy recommendations, including any statutory changes needed, to the legislature and the governor. The report must consider policies to expand the use and production of low carbon materials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 Recommend approaches to designing lower embodied carbon state building projects.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Environmental Product Declaration (EPD) to require that the EPD be supply chain specific to the extent feasible.</w:t>
      </w:r>
    </w:p>
    <w:p>
      <w:pPr>
        <w:spacing w:before="0" w:after="0" w:line="408" w:lineRule="exact"/>
        <w:ind w:left="0" w:right="0" w:firstLine="576"/>
        <w:jc w:val="left"/>
      </w:pPr>
      <w:r>
        <w:rPr/>
        <w:t xml:space="preserve">(2) Allows the reporting of a Product and facility specific report if a supply chain specific EPD is not available.</w:t>
      </w:r>
    </w:p>
    <w:p>
      <w:pPr>
        <w:spacing w:before="0" w:after="0" w:line="408" w:lineRule="exact"/>
        <w:ind w:left="0" w:right="0" w:firstLine="576"/>
        <w:jc w:val="left"/>
      </w:pPr>
      <w:r>
        <w:rPr/>
        <w:t xml:space="preserve">(3) Removes the requirement to report wood sourcing information.</w:t>
      </w:r>
    </w:p>
    <w:p>
      <w:pPr>
        <w:spacing w:before="0" w:after="0" w:line="408" w:lineRule="exact"/>
        <w:ind w:left="0" w:right="0" w:firstLine="576"/>
        <w:jc w:val="left"/>
      </w:pPr>
      <w:r>
        <w:rPr/>
        <w:t xml:space="preserve">(4) Renames the Buy Clean and Buy Fair Work Group as a technical work group and modifies work group membership.</w:t>
      </w:r>
    </w:p>
    <w:p>
      <w:pPr>
        <w:spacing w:before="0" w:after="0" w:line="408" w:lineRule="exact"/>
        <w:ind w:left="0" w:right="0" w:firstLine="576"/>
        <w:jc w:val="left"/>
      </w:pPr>
      <w:r>
        <w:rPr/>
        <w:t xml:space="preserve">(5) Modifies the reports required from the work group to include recommendations for consistent treatment in the reporting of covered products, consideration of how life cycle assessments conducted by project designers could be incorporated into future reporting, options for collecting working condition information from product suppliers, and recommended approaches to designing lower embodied carbon state building projects.</w:t>
      </w:r>
    </w:p>
    <w:p>
      <w:pPr>
        <w:spacing w:before="0" w:after="0" w:line="408" w:lineRule="exact"/>
        <w:ind w:left="0" w:right="0" w:firstLine="576"/>
        <w:jc w:val="left"/>
      </w:pPr>
      <w:r>
        <w:rPr/>
        <w:t xml:space="preserve">(6) Adds definitions for ANSI, ASTM, product and facility specific report, and product standard.</w:t>
      </w:r>
    </w:p>
    <w:p>
      <w:pPr>
        <w:spacing w:before="0" w:after="0" w:line="408" w:lineRule="exact"/>
        <w:ind w:left="0" w:right="0" w:firstLine="576"/>
        <w:jc w:val="left"/>
      </w:pPr>
      <w:r>
        <w:rPr/>
        <w:t xml:space="preserve">(7) Removes the provision permitting the Department of Commerce to consult with the University of Washington College of Built Environments on the development and maintenance of a publicly accessible database.</w:t>
      </w:r>
    </w:p>
    <w:p>
      <w:pPr>
        <w:spacing w:before="0" w:after="0" w:line="408" w:lineRule="exact"/>
        <w:ind w:left="0" w:right="0" w:firstLine="576"/>
        <w:jc w:val="left"/>
      </w:pPr>
      <w:r>
        <w:rPr/>
        <w:t xml:space="preserve">(8) Amends the definitions of engineered wood products and working conditions.</w:t>
      </w:r>
    </w:p>
    <w:p>
      <w:pPr>
        <w:spacing w:before="0" w:after="0" w:line="408" w:lineRule="exact"/>
        <w:ind w:left="0" w:right="0" w:firstLine="576"/>
        <w:jc w:val="left"/>
      </w:pPr>
      <w:r>
        <w:rPr/>
        <w:t xml:space="preserve">(9) Makes changes to legislative findings and declaration.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c4d0287e6406d" /></Relationships>
</file>