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d32ccfadb461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BARN</w:t>
        </w:r>
      </w:r>
      <w:r>
        <w:rPr>
          <w:b/>
        </w:rPr>
        <w:t xml:space="preserve"> </w:t>
        <w:r>
          <w:rPr/>
          <w:t xml:space="preserve">H1961.1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Barnard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19, after "price." strike all material through "</w:t>
      </w:r>
      <w:r>
        <w:rPr>
          <w:strike/>
        </w:rPr>
        <w:t xml:space="preserve">voters.</w:t>
      </w:r>
      <w:r>
        <w:rPr/>
        <w:t xml:space="preserve">))" on line 26 and insert "Any county choosing to plan under RCW 36.70A.040(2)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the requirement that a city or county get voter approval before imposing the second 0.25 percent local real estate excise tax (REET 2).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84a78a82b4668" /></Relationships>
</file>