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d279607ff4317" /></Relationships>
</file>

<file path=word/document.xml><?xml version="1.0" encoding="utf-8"?>
<w:document xmlns:w="http://schemas.openxmlformats.org/wordprocessingml/2006/main">
  <w:body>
    <w:p>
      <w:r>
        <w:rPr>
          <w:b/>
        </w:rPr>
        <w:r>
          <w:rPr/>
          <w:t xml:space="preserve">1637-S</w:t>
        </w:r>
      </w:r>
      <w:r>
        <w:rPr>
          <w:b/>
        </w:rPr>
        <w:t xml:space="preserve"> </w:t>
        <w:t xml:space="preserve">AMH</w:t>
      </w:r>
      <w:r>
        <w:rPr>
          <w:b/>
        </w:rPr>
        <w:t xml:space="preserve"> </w:t>
        <w:r>
          <w:rPr/>
          <w:t xml:space="preserve">ORWA</w:t>
        </w:r>
      </w:r>
      <w:r>
        <w:rPr>
          <w:b/>
        </w:rPr>
        <w:t xml:space="preserve"> </w:t>
        <w:r>
          <w:rPr/>
          <w:t xml:space="preserve">H2731.1</w:t>
        </w:r>
      </w:r>
      <w:r>
        <w:rPr>
          <w:b/>
        </w:rPr>
        <w:t xml:space="preserve"> - NOT FOR FLOOR USE</w:t>
      </w:r>
    </w:p>
    <w:p>
      <w:pPr>
        <w:ind w:left="0" w:right="0" w:firstLine="576"/>
      </w:pPr>
    </w:p>
    <w:p>
      <w:pPr>
        <w:spacing w:before="480" w:after="0" w:line="408" w:lineRule="exact"/>
      </w:pPr>
      <w:r>
        <w:rPr>
          <w:b/>
          <w:u w:val="single"/>
        </w:rPr>
        <w:t xml:space="preserve">SHB 1637</w:t>
      </w:r>
      <w:r>
        <w:t xml:space="preserve"> -</w:t>
      </w:r>
      <w:r>
        <w:t xml:space="preserve"> </w:t>
        <w:t xml:space="preserve">H AMD</w:t>
      </w:r>
      <w:r>
        <w:t xml:space="preserve"> </w:t>
      </w:r>
      <w:r>
        <w:rPr>
          <w:b/>
        </w:rPr>
        <w:t xml:space="preserve">792</w:t>
      </w:r>
    </w:p>
    <w:p>
      <w:pPr>
        <w:spacing w:before="0" w:after="0" w:line="408" w:lineRule="exact"/>
        <w:ind w:left="0" w:right="0" w:firstLine="576"/>
        <w:jc w:val="left"/>
      </w:pPr>
      <w:r>
        <w:rPr/>
        <w:t xml:space="preserve">By Representative Orwall</w:t>
      </w:r>
    </w:p>
    <w:p>
      <w:pPr>
        <w:jc w:val="right"/>
      </w:pPr>
      <w:r>
        <w:rPr>
          <w:b/>
        </w:rPr>
        <w:t xml:space="preserve">ADOPTED 01/24/2024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locate any property which he or she knows has been reported or paid or delivered to the department of revenue pursuant to this chapter, or funds held by a court or county, that are proceeds from a foreclosure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(3)(a) This section applies retroactively to January 1, 2023, and prospectively beginning with the effective date of this section.</w:t>
      </w:r>
    </w:p>
    <w:p>
      <w:pPr>
        <w:spacing w:before="0" w:after="0" w:line="408" w:lineRule="exact"/>
        <w:ind w:left="0" w:right="0" w:firstLine="576"/>
        <w:jc w:val="left"/>
      </w:pPr>
      <w:r>
        <w:rPr/>
        <w:t xml:space="preserve">(b) This section applies to all civil actions and proceedings commenced prior to January 1, 2023, in which a claim or cause of action was asserted pursuant to RCW 63.29.350, repealed in section 1505, chapter 225, Laws of 2022 and in which the requested remedies are limited to civil remedies. Any such action or proceeding that may have been dismissed as a result of the repeal of former RCW 63.29.350 is saved. Upon the motion of a plaintiff in any such action, the court shall reinstate the action and allow the plaintiff to proceed with the action under this section.</w:t>
      </w:r>
    </w:p>
    <w:p>
      <w:pPr>
        <w:spacing w:before="0" w:after="0" w:line="408" w:lineRule="exact"/>
        <w:ind w:left="0" w:right="0" w:firstLine="576"/>
        <w:jc w:val="left"/>
      </w:pPr>
      <w:r>
        <w:rPr/>
        <w:t xml:space="preserve">(c) This section applies to all claims and causes of action based on conduct that occurred prior to January 1, 2023, and that violated former RCW 63.29.350. Any such claim or cause of action that could have been commenced under former RCW 63.29.350 and that has been extinguished by the repeal of RCW 63.29.350 may proceed under this section, provided that it is not barred by any applicable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person who violates section 1(1) of this act is guilty of a misdemeanor and shall be fined not less than the amount of the fee or charge he or she has sought or received or contracted for, and not more than 10 times such amount, or imprisoned for not more than 30 days,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790</w:t>
      </w:r>
      <w:r>
        <w:rPr/>
        <w:t xml:space="preserve"> and 2022 c 225 s 1302 are each amended to read as follows:</w:t>
      </w:r>
    </w:p>
    <w:p>
      <w:pPr>
        <w:spacing w:before="0" w:after="0" w:line="408" w:lineRule="exact"/>
        <w:ind w:left="0" w:right="0" w:firstLine="576"/>
        <w:jc w:val="left"/>
      </w:pPr>
      <w:r>
        <w:rPr/>
        <w:t xml:space="preserve">(1) Subject to subsection (2) of this section, an agreement under RCW 63.30.780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w:t>
      </w:r>
      <w:r>
        <w:t>((</w:t>
      </w:r>
      <w:r>
        <w:rPr>
          <w:strike/>
        </w:rPr>
        <w:t xml:space="preserve">is unconscionable</w:t>
      </w:r>
      <w:r>
        <w:t>))</w:t>
      </w:r>
      <w:r>
        <w:rPr/>
        <w:t xml:space="preserve"> </w:t>
      </w:r>
      <w:r>
        <w:rPr>
          <w:u w:val="single"/>
        </w:rPr>
        <w:t xml:space="preserve">exceeds five percent of the value of the property reasonably expected to be recovered</w:t>
      </w:r>
      <w:r>
        <w:rPr/>
        <w:t xml:space="preserve"> is unenforceable </w:t>
      </w:r>
      <w:r>
        <w:t>((</w:t>
      </w:r>
      <w:r>
        <w:rPr>
          <w:strike/>
        </w:rPr>
        <w:t xml:space="preserve">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r>
        <w:t>))</w:t>
      </w:r>
      <w:r>
        <w:rPr/>
        <w:t xml:space="preserv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w:t>
      </w:r>
      <w:r>
        <w:t>((</w:t>
      </w:r>
      <w:r>
        <w:rPr>
          <w:strike/>
        </w:rPr>
        <w:t xml:space="preserve">unconscionable</w:t>
      </w:r>
      <w:r>
        <w:t>))</w:t>
      </w:r>
      <w:r>
        <w:rPr/>
        <w:t xml:space="preserve"> compensation </w:t>
      </w:r>
      <w:r>
        <w:rPr>
          <w:u w:val="single"/>
        </w:rPr>
        <w:t xml:space="preserve">in an amount that exceeds five percent of the value of the property reasonably expected to be recovered</w:t>
      </w:r>
      <w:r>
        <w:rPr/>
        <w:t xml:space="preserve">.</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two sections that have been enacted into law in House Bill No. 1349 during the 2023 legislative session and that relate to prohibition on excessive fees for locating or recovering foreclosure surplus funds.</w:t>
      </w:r>
    </w:p>
    <w:p>
      <w:pPr>
        <w:spacing w:before="0" w:after="0" w:line="408" w:lineRule="exact"/>
        <w:ind w:left="0" w:right="0" w:firstLine="576"/>
        <w:jc w:val="left"/>
      </w:pPr>
      <w:r>
        <w:rPr/>
        <w:t xml:space="preserve">(2) Requires the court, upon the motion of a plaintiff, to reinstate an action that was commenced prior to January 1, 2023, under the repealed Uniform Unclaimed Property Act and that may have been dismissed as a result of the repeal, instead of simply providing that such an action is reinstated.</w:t>
      </w:r>
    </w:p>
    <w:p>
      <w:pPr>
        <w:spacing w:before="0" w:after="0" w:line="408" w:lineRule="exact"/>
        <w:ind w:left="0" w:right="0" w:firstLine="576"/>
        <w:jc w:val="left"/>
      </w:pPr>
      <w:r>
        <w:rPr/>
        <w:t xml:space="preserve">(3) Modifies the Revised Uniform Unclaimed Property Act provisions related to agreements to locate and deliver unclaimed property and provides that an agreement is unenforceable if it provides for compensation in the amount that exceeds five percent of the value of the property reasonably expected to be recovered, instead of compensation that is unconscionable. Removes provisions authorizing an apparent owner or the Department of Revenue to file an action to reduce the compensation to the maximum amount that is not unconscionable. Replaces a reference to unconscionable compensation with the reference to compensation exceeding five percent in provisions that authorize declaring an agreement void on other grounds.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8dd5acd0947d7" /></Relationships>
</file>