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7803c58a04073"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DOGL</w:t>
        </w:r>
      </w:r>
      <w:r>
        <w:rPr>
          <w:b/>
        </w:rPr>
        <w:t xml:space="preserve"> </w:t>
        <w:r>
          <w:rPr/>
          <w:t xml:space="preserve">H3264.1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962</w:t>
      </w:r>
    </w:p>
    <w:p>
      <w:pPr>
        <w:spacing w:before="0" w:after="0" w:line="408" w:lineRule="exact"/>
        <w:ind w:left="0" w:right="0" w:firstLine="576"/>
        <w:jc w:val="left"/>
      </w:pPr>
      <w:r>
        <w:rPr/>
        <w:t xml:space="preserve">By Representative Doglio</w:t>
      </w:r>
    </w:p>
    <w:p>
      <w:pPr>
        <w:jc w:val="right"/>
      </w:pPr>
    </w:p>
    <w:p>
      <w:pPr>
        <w:spacing w:before="0" w:after="0" w:line="408" w:lineRule="exact"/>
        <w:ind w:left="0" w:right="0" w:firstLine="576"/>
        <w:jc w:val="left"/>
      </w:pPr>
      <w:r>
        <w:rPr/>
        <w:t xml:space="preserve">On page 19, line 33, after "(e)" insert "(i)"</w:t>
      </w:r>
    </w:p>
    <w:p>
      <w:pPr>
        <w:spacing w:before="0" w:after="0" w:line="408" w:lineRule="exact"/>
        <w:ind w:left="0" w:right="0" w:firstLine="576"/>
        <w:jc w:val="left"/>
      </w:pPr>
      <w:r>
        <w:rPr/>
        <w:t xml:space="preserve">On page 19, line 38, after "infrastructure;" insert "and</w:t>
      </w:r>
    </w:p>
    <w:p>
      <w:pPr>
        <w:spacing w:before="0" w:after="0" w:line="408" w:lineRule="exact"/>
        <w:ind w:left="0" w:right="0" w:firstLine="576"/>
        <w:jc w:val="left"/>
      </w:pPr>
      <w:r>
        <w:rPr/>
        <w:t xml:space="preserve">(ii) Evaluate what new or expanded services and infrastructure are needed in each county and city planning under chapter 70A.205 RCW to implement a system for the collection of qualifying beverage containers that relies on financial incentives;"</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21, line 1, after "(3)" insert "In the first needs assessment under this section, the assessment must also include:</w:t>
      </w:r>
    </w:p>
    <w:p>
      <w:pPr>
        <w:spacing w:before="0" w:after="0" w:line="408" w:lineRule="exact"/>
        <w:ind w:left="0" w:right="0" w:firstLine="576"/>
        <w:jc w:val="left"/>
      </w:pPr>
      <w:r>
        <w:rPr/>
        <w:t xml:space="preserve">(a) An evaluation of best practices for the structure of a system for the collection of qualifying beverage containers that relies on financial incentives;</w:t>
      </w:r>
    </w:p>
    <w:p>
      <w:pPr>
        <w:spacing w:before="0" w:after="0" w:line="408" w:lineRule="exact"/>
        <w:ind w:left="0" w:right="0" w:firstLine="576"/>
        <w:jc w:val="left"/>
      </w:pPr>
      <w:r>
        <w:rPr/>
        <w:t xml:space="preserve">(b) An evaluation of how to design a beverage container collection system that relies on financial incentives to function most efficiently, features high levels of consumer convenience, achieves the best environmental outcomes, and coordinates with producer responsibility organizations formed under this chapter; and</w:t>
      </w:r>
    </w:p>
    <w:p>
      <w:pPr>
        <w:spacing w:before="0" w:after="0" w:line="408" w:lineRule="exact"/>
        <w:ind w:left="0" w:right="0" w:firstLine="576"/>
        <w:jc w:val="left"/>
      </w:pPr>
      <w:r>
        <w:rPr/>
        <w:t xml:space="preserve">(c) Recommendations to the department, to be transmitted by the department, with any additional recommendations from the department, to the appropriate committees of the legislature, regarding the timing, program design, and other necessary elements to enable the establishment of a collection system for qualifying beverage containers that relies on financial incentives in conjunction with the program established by this chapter.</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statewide needs assessment to include an evaluation of new or expanded infrastructure and services in each county and city needed to implement a collection system for qualifying beverage containers that relies on financial incentives. Requires the first needs assessment that is to be completed in 2026 to include an evaluation of qualifying beverage container collection system best practices, program design elements to function efficiently and achieve the best environmental outcomes, and to coordinate with producer responsibility organizations. Requires the needs assessment to include recommendations to the department of ecology regarding beverage container collection system timing and program design, and requires the department of ecology to transmit those recommendations to the legislature, along with any additional recommendations from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a18119d10456c" /></Relationships>
</file>