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aad3ef28c4785" /></Relationships>
</file>

<file path=word/document.xml><?xml version="1.0" encoding="utf-8"?>
<w:document xmlns:w="http://schemas.openxmlformats.org/wordprocessingml/2006/main">
  <w:body>
    <w:p>
      <w:r>
        <w:rPr>
          <w:b/>
        </w:rPr>
        <w:r>
          <w:rPr/>
          <w:t xml:space="preserve">2237-S</w:t>
        </w:r>
      </w:r>
      <w:r>
        <w:rPr>
          <w:b/>
        </w:rPr>
        <w:t xml:space="preserve"> </w:t>
        <w:t xml:space="preserve">AMH</w:t>
      </w:r>
      <w:r>
        <w:rPr>
          <w:b/>
        </w:rPr>
        <w:t xml:space="preserve"> </w:t>
        <w:r>
          <w:rPr/>
          <w:t xml:space="preserve">TAYL</w:t>
        </w:r>
      </w:r>
      <w:r>
        <w:rPr>
          <w:b/>
        </w:rPr>
        <w:t xml:space="preserve"> </w:t>
        <w:r>
          <w:rPr/>
          <w:t xml:space="preserve">H3182.1</w:t>
        </w:r>
      </w:r>
      <w:r>
        <w:rPr>
          <w:b/>
        </w:rPr>
        <w:t xml:space="preserve"> - NOT FOR FLOOR USE</w:t>
      </w:r>
    </w:p>
    <w:p>
      <w:pPr>
        <w:ind w:left="0" w:right="0" w:firstLine="576"/>
      </w:pPr>
    </w:p>
    <w:p>
      <w:pPr>
        <w:spacing w:before="480" w:after="0" w:line="408" w:lineRule="exact"/>
      </w:pPr>
      <w:r>
        <w:rPr>
          <w:b/>
          <w:u w:val="single"/>
        </w:rPr>
        <w:t xml:space="preserve">SHB 2237</w:t>
      </w:r>
      <w:r>
        <w:t xml:space="preserve"> -</w:t>
      </w:r>
      <w:r>
        <w:t xml:space="preserve"> </w:t>
        <w:t xml:space="preserve">H AMD</w:t>
      </w:r>
      <w:r>
        <w:t xml:space="preserve"> </w:t>
      </w:r>
      <w:r>
        <w:rPr>
          <w:b/>
        </w:rPr>
        <w:t xml:space="preserve">909</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On page 21, after line 5,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2022 c 243 s 8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probated will or other record unless the court finds the appointment is contrary to the best interest of the minor. 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RCW 26.09.191 </w:t>
      </w:r>
      <w:r>
        <w:rPr>
          <w:u w:val="single"/>
        </w:rPr>
        <w:t xml:space="preserve">or section 2 of this act</w:t>
      </w:r>
      <w:r>
        <w:rPr/>
        <w:t xml:space="preserve">;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w:t>
      </w:r>
      <w:r>
        <w:rPr>
          <w:u w:val="single"/>
        </w:rPr>
        <w:t xml:space="preserve">or section 2 of this act</w:t>
      </w:r>
      <w:r>
        <w:rPr/>
        <w:t xml:space="preserve">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and</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w:t>
      </w:r>
      <w:r>
        <w:rPr>
          <w:u w:val="single"/>
        </w:rPr>
        <w:t xml:space="preserve">and section 2 of this act</w:t>
      </w:r>
      <w:r>
        <w:rPr/>
        <w:t xml:space="preserve">;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 </w:t>
      </w:r>
      <w:r>
        <w:rPr>
          <w:u w:val="single"/>
        </w:rPr>
        <w:t xml:space="preserve">or section 2 of this act</w:t>
      </w:r>
      <w:r>
        <w:rPr/>
        <w:t xml:space="preserve">;</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is opposed to mutual decision making, and such opposition is reasonable based on the criteria in (c) of this subsection.</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 </w:t>
      </w:r>
      <w:r>
        <w:rPr>
          <w:u w:val="single"/>
        </w:rPr>
        <w:t xml:space="preserve">or section 2 of this act</w:t>
      </w:r>
      <w:r>
        <w:rPr/>
        <w:t xml:space="preserve">;</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the parents have a demonstrated ability and desire to cooperate with one another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The child's residential schedule shall be consistent with RCW 26.09.191 </w:t>
      </w:r>
      <w:r>
        <w:rPr>
          <w:u w:val="single"/>
        </w:rPr>
        <w:t xml:space="preserve">and section 2 of this act</w:t>
      </w:r>
      <w:r>
        <w:rPr/>
        <w:t xml:space="preserve">. Where the limitations of RCW 26.09.191 </w:t>
      </w:r>
      <w:r>
        <w:rPr>
          <w:u w:val="single"/>
        </w:rPr>
        <w:t xml:space="preserve">or section 2 of this act</w:t>
      </w:r>
      <w:r>
        <w:rPr/>
        <w:t xml:space="preserve">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rPr/>
        <w:t xml:space="preserve">(vi)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rPr/>
        <w:t xml:space="preserve">(vii) Each parent's employment schedule, and shall make accommodations consistent with those schedules.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Where the limitations of RCW 26.09.191 </w:t>
      </w:r>
      <w:r>
        <w:rPr>
          <w:u w:val="single"/>
        </w:rPr>
        <w:t xml:space="preserve">or section 2 of this act</w:t>
      </w:r>
      <w:r>
        <w:rPr/>
        <w:t xml:space="preserve">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p>
    <w:p>
      <w:pPr>
        <w:spacing w:before="0" w:after="0" w:line="408" w:lineRule="exact"/>
        <w:ind w:left="0" w:right="0" w:firstLine="576"/>
        <w:jc w:val="left"/>
      </w:pPr>
      <w:r>
        <w:rPr/>
        <w:t xml:space="preserve">(c)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194</w:t>
      </w:r>
      <w:r>
        <w:rPr/>
        <w:t xml:space="preserve"> and 2008 c 6 s 1045 are each amended to read as follows:</w:t>
      </w:r>
    </w:p>
    <w:p>
      <w:pPr>
        <w:spacing w:before="0" w:after="0" w:line="408" w:lineRule="exact"/>
        <w:ind w:left="0" w:right="0" w:firstLine="576"/>
        <w:jc w:val="left"/>
      </w:pPr>
      <w:r>
        <w:rPr/>
        <w:t xml:space="preserve">(1)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accompanied by an affidavit or declaration which shall state at a minimum the following:</w:t>
      </w:r>
    </w:p>
    <w:p>
      <w:pPr>
        <w:spacing w:before="0" w:after="0" w:line="408" w:lineRule="exact"/>
        <w:ind w:left="0" w:right="0" w:firstLine="576"/>
        <w:jc w:val="left"/>
      </w:pPr>
      <w:r>
        <w:rPr/>
        <w:t xml:space="preserve">(a) The name, address, and length of residence with the person or persons with whom the child has lived for the preceding twelve months;</w:t>
      </w:r>
    </w:p>
    <w:p>
      <w:pPr>
        <w:spacing w:before="0" w:after="0" w:line="408" w:lineRule="exact"/>
        <w:ind w:left="0" w:right="0" w:firstLine="576"/>
        <w:jc w:val="left"/>
      </w:pPr>
      <w:r>
        <w:rPr/>
        <w:t xml:space="preserve">(b) The performance by each parent during the last twelve months of the parenting functions relating to the daily needs of the child;</w:t>
      </w:r>
    </w:p>
    <w:p>
      <w:pPr>
        <w:spacing w:before="0" w:after="0" w:line="408" w:lineRule="exact"/>
        <w:ind w:left="0" w:right="0" w:firstLine="576"/>
        <w:jc w:val="left"/>
      </w:pPr>
      <w:r>
        <w:rPr/>
        <w:t xml:space="preserve">(c) The parents' work and child-care schedules for the preceding twelve months;</w:t>
      </w:r>
    </w:p>
    <w:p>
      <w:pPr>
        <w:spacing w:before="0" w:after="0" w:line="408" w:lineRule="exact"/>
        <w:ind w:left="0" w:right="0" w:firstLine="576"/>
        <w:jc w:val="left"/>
      </w:pPr>
      <w:r>
        <w:rPr/>
        <w:t xml:space="preserve">(d) The parents' current work and child-care schedules; and</w:t>
      </w:r>
    </w:p>
    <w:p>
      <w:pPr>
        <w:spacing w:before="0" w:after="0" w:line="408" w:lineRule="exact"/>
        <w:ind w:left="0" w:right="0" w:firstLine="576"/>
        <w:jc w:val="left"/>
      </w:pPr>
      <w:r>
        <w:rPr/>
        <w:t xml:space="preserve">(e) Any of the circumstances set forth in RCW 26.09.191 </w:t>
      </w:r>
      <w:r>
        <w:rPr>
          <w:u w:val="single"/>
        </w:rPr>
        <w:t xml:space="preserve">or section 2 of this act</w:t>
      </w:r>
      <w:r>
        <w:rPr/>
        <w:t xml:space="preserve"> that are likely to pose a serious risk to the child and that warrant limitation on the award to a parent of temporary residence or time with the child pending entry of a permanent parenting plan.</w:t>
      </w:r>
    </w:p>
    <w:p>
      <w:pPr>
        <w:spacing w:before="0" w:after="0" w:line="408" w:lineRule="exact"/>
        <w:ind w:left="0" w:right="0" w:firstLine="576"/>
        <w:jc w:val="left"/>
      </w:pPr>
      <w:r>
        <w:rPr/>
        <w:t xml:space="preserve">(2) At the hearing, the court shall enter a temporary parenting order incorporating a temporary parenting plan which includes:</w:t>
      </w:r>
    </w:p>
    <w:p>
      <w:pPr>
        <w:spacing w:before="0" w:after="0" w:line="408" w:lineRule="exact"/>
        <w:ind w:left="0" w:right="0" w:firstLine="576"/>
        <w:jc w:val="left"/>
      </w:pPr>
      <w:r>
        <w:rPr/>
        <w:t xml:space="preserve">(a) A schedule for the child's time with each parent when appropriate;</w:t>
      </w:r>
    </w:p>
    <w:p>
      <w:pPr>
        <w:spacing w:before="0" w:after="0" w:line="408" w:lineRule="exact"/>
        <w:ind w:left="0" w:right="0" w:firstLine="576"/>
        <w:jc w:val="left"/>
      </w:pPr>
      <w:r>
        <w:rPr/>
        <w:t xml:space="preserve">(b) Designation of a temporary residence for the child;</w:t>
      </w:r>
    </w:p>
    <w:p>
      <w:pPr>
        <w:spacing w:before="0" w:after="0" w:line="408" w:lineRule="exact"/>
        <w:ind w:left="0" w:right="0" w:firstLine="576"/>
        <w:jc w:val="left"/>
      </w:pPr>
      <w:r>
        <w:rPr/>
        <w:t xml:space="preserve">(c) Allocation of decision-making authority, if any. Absent allocation of decision-making authority consistent with RCW 26.09.187(2), neither party shall make any decision for the child other than those relating to day-to-day or emergency care of the child, which shall be made by the party who is present with the child;</w:t>
      </w:r>
    </w:p>
    <w:p>
      <w:pPr>
        <w:spacing w:before="0" w:after="0" w:line="408" w:lineRule="exact"/>
        <w:ind w:left="0" w:right="0" w:firstLine="576"/>
        <w:jc w:val="left"/>
      </w:pPr>
      <w:r>
        <w:rPr/>
        <w:t xml:space="preserve">(d) Provisions for temporary support for the child; and</w:t>
      </w:r>
    </w:p>
    <w:p>
      <w:pPr>
        <w:spacing w:before="0" w:after="0" w:line="408" w:lineRule="exact"/>
        <w:ind w:left="0" w:right="0" w:firstLine="576"/>
        <w:jc w:val="left"/>
      </w:pPr>
      <w:r>
        <w:rPr/>
        <w:t xml:space="preserve">(e) Restraining orders, if applicable, under RCW 26.09.060.</w:t>
      </w:r>
    </w:p>
    <w:p>
      <w:pPr>
        <w:spacing w:before="0" w:after="0" w:line="408" w:lineRule="exact"/>
        <w:ind w:left="0" w:right="0" w:firstLine="576"/>
        <w:jc w:val="left"/>
      </w:pPr>
      <w:r>
        <w:rPr/>
        <w:t xml:space="preserve">(3) A parent may make a motion for an order to show cause and the court may enter a temporary order, including a temporary parenting plan, upon a showing of necessity.</w:t>
      </w:r>
    </w:p>
    <w:p>
      <w:pPr>
        <w:spacing w:before="0" w:after="0" w:line="408" w:lineRule="exact"/>
        <w:ind w:left="0" w:right="0" w:firstLine="576"/>
        <w:jc w:val="left"/>
      </w:pPr>
      <w:r>
        <w:rPr/>
        <w:t xml:space="preserve">(4) A parent may move for amendment of a temporary parenting plan, and the court may order amendment to the temporary parenting plan, if the amendment conforms to the limitations of RCW 26.09.191 </w:t>
      </w:r>
      <w:r>
        <w:rPr>
          <w:u w:val="single"/>
        </w:rPr>
        <w:t xml:space="preserve">and section 2 of this act</w:t>
      </w:r>
      <w:r>
        <w:rPr/>
        <w:t xml:space="preserve"> and is in the best interest of the child.</w:t>
      </w:r>
    </w:p>
    <w:p>
      <w:pPr>
        <w:spacing w:before="0" w:after="0" w:line="408" w:lineRule="exact"/>
        <w:ind w:left="0" w:right="0" w:firstLine="576"/>
        <w:jc w:val="left"/>
      </w:pPr>
      <w:r>
        <w:rPr/>
        <w:t xml:space="preserve">(5) If a proceeding for dissolution of marriage or dissolution of domestic partnership, legal separation, or declaration of invalidity is dismissed, any temporary order or temporary parenting plan is vacated.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 </w:t>
      </w:r>
      <w:r>
        <w:rPr>
          <w:u w:val="single"/>
        </w:rPr>
        <w:t xml:space="preserve">and section 2 of this act</w:t>
      </w:r>
      <w:r>
        <w:rPr/>
        <w:t xml:space="preserve">.</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w:t>
      </w:r>
      <w:r>
        <w:t>((</w:t>
      </w:r>
      <w:r>
        <w:rPr>
          <w:strike/>
        </w:rPr>
        <w:t xml:space="preserve">(2) or (3)</w:t>
      </w:r>
      <w:r>
        <w:t>))</w:t>
      </w:r>
      <w:r>
        <w:rPr/>
        <w:t xml:space="preserve"> </w:t>
      </w:r>
      <w:r>
        <w:rPr>
          <w:u w:val="single"/>
        </w:rPr>
        <w:t xml:space="preserve">or section 2 of this act</w:t>
      </w:r>
      <w:r>
        <w:rPr/>
        <w:t xml:space="preserve">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w:t>
      </w:r>
      <w:r>
        <w:rPr>
          <w:u w:val="single"/>
        </w:rPr>
        <w:t xml:space="preserve">or section 2 of this act</w:t>
      </w:r>
      <w:r>
        <w:rPr/>
        <w:t xml:space="preserve">.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2019 c 79 s 3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seeking relocation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RCW 26.09.191 </w:t>
      </w:r>
      <w:r>
        <w:rPr>
          <w:u w:val="single"/>
        </w:rPr>
        <w:t xml:space="preserve">or section 2 of this act</w:t>
      </w:r>
      <w:r>
        <w:rPr/>
        <w:t xml:space="preserve">;</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177</w:t>
      </w:r>
      <w:r>
        <w:rPr/>
        <w:t xml:space="preserve"> and 2011 c 292 s 7 are each amended to read as follows:</w:t>
      </w:r>
    </w:p>
    <w:p>
      <w:pPr>
        <w:spacing w:before="0" w:after="0" w:line="408" w:lineRule="exact"/>
        <w:ind w:left="0" w:right="0" w:firstLine="576"/>
        <w:jc w:val="left"/>
      </w:pPr>
      <w:r>
        <w:rPr/>
        <w:t xml:space="preserve">(1) All guardians ad litem 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w:t>
      </w:r>
      <w:r>
        <w:rPr>
          <w:u w:val="single"/>
        </w:rPr>
        <w:t xml:space="preserve">or section 2 of this act</w:t>
      </w:r>
      <w:r>
        <w:rPr/>
        <w:t xml:space="preserve">, the guardians ad litem appointed under this title must have additional relevant training under RCW 2.56.030(15) when it is available.</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under this title. If a judicial district does not have a program the court shall establish the rotational registry system. Guardians ad litem under this title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record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is inappropriate or unqualified,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pPr>
        <w:spacing w:before="0" w:after="0" w:line="408" w:lineRule="exact"/>
        <w:ind w:left="0" w:right="0" w:firstLine="576"/>
        <w:jc w:val="left"/>
      </w:pPr>
      <w:r>
        <w:rPr/>
        <w:t xml:space="preserve">(d)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w:t>
      </w:r>
    </w:p>
    <w:p>
      <w:pPr>
        <w:spacing w:before="0" w:after="0" w:line="408" w:lineRule="exact"/>
        <w:ind w:left="0" w:right="0" w:firstLine="576"/>
        <w:jc w:val="left"/>
      </w:pPr>
      <w:r>
        <w:rPr/>
        <w:t xml:space="preserve">(e) The superior court shall remove any person from the guardian ad litem registry who has been found to have misrepresented his or her qualifications.</w:t>
      </w:r>
    </w:p>
    <w:p>
      <w:pPr>
        <w:spacing w:before="0" w:after="0" w:line="408" w:lineRule="exact"/>
        <w:ind w:left="0" w:right="0" w:firstLine="576"/>
        <w:jc w:val="left"/>
      </w:pPr>
      <w:r>
        <w:rPr/>
        <w:t xml:space="preserve">(3) The rotational registry system shall not apply to court-appointed special advocate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2021 c 215 s 143 and 2021 c 65 s 103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chapter 7.105 RCW or former chapter 26.50 RCW; (B) a parenting plan with restrictions based on RCW 26.09.191</w:t>
      </w:r>
      <w:r>
        <w:t>((</w:t>
      </w:r>
      <w:r>
        <w:rPr>
          <w:strike/>
        </w:rPr>
        <w:t xml:space="preserve">(2)(a)(iii)</w:t>
      </w:r>
      <w:r>
        <w:t>))</w:t>
      </w:r>
      <w:r>
        <w:rPr/>
        <w:t xml:space="preserve"> </w:t>
      </w:r>
      <w:r>
        <w:rPr>
          <w:u w:val="single"/>
        </w:rPr>
        <w:t xml:space="preserve">(4)(a)(iii)</w:t>
      </w:r>
      <w:r>
        <w:rPr/>
        <w:t xml:space="preserve">; or (C) a restraining order entered under chapter 26.09, 26.26A, or 26.26B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7.105.010.</w:t>
      </w:r>
    </w:p>
    <w:p>
      <w:pPr>
        <w:spacing w:before="0" w:after="0" w:line="408" w:lineRule="exact"/>
        <w:ind w:left="0" w:right="0" w:firstLine="576"/>
        <w:jc w:val="left"/>
      </w:pPr>
      <w:r>
        <w:rPr/>
        <w:t xml:space="preserve">(3) "Litigation" means any kind of legal action or proceeding including, but not limited to: (a) Filing a summons, complaint, demand, or petition; (b) serving a summons, complaint, demand, or petition, regardless of whether it has been filed; (c) filing a motion, notice of court date, note for motion docket, or order to appear; (d) serving a motion, notice of court date, note for motion docket, or order to appear, regardless of whether it has been filed or scheduled; (e) filing a subpoena, subpoena duces tecum, request for interrogatories, request for production, notice of deposition, or other discovery request; or (f)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citations to RCW 26.09.191 to also include references to section 2 of the act given that some provisions of current RCW 26.09.191 are moved into a new section of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dae6764c34142" /></Relationships>
</file>