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afee731569a488b" /></Relationships>
</file>

<file path=word/document.xml><?xml version="1.0" encoding="utf-8"?>
<w:document xmlns:w="http://schemas.openxmlformats.org/wordprocessingml/2006/main">
  <w:body>
    <w:p>
      <w:r>
        <w:rPr>
          <w:b/>
        </w:rPr>
        <w:r>
          <w:rPr/>
          <w:t xml:space="preserve">5207-S.E</w:t>
        </w:r>
      </w:r>
      <w:r>
        <w:rPr>
          <w:b/>
        </w:rPr>
        <w:t xml:space="preserve"> </w:t>
        <w:t xml:space="preserve">AMH</w:t>
      </w:r>
      <w:r>
        <w:rPr>
          <w:b/>
        </w:rPr>
        <w:t xml:space="preserve"> </w:t>
        <w:r>
          <w:rPr/>
          <w:t xml:space="preserve">SGOV</w:t>
        </w:r>
      </w:r>
      <w:r>
        <w:rPr>
          <w:b/>
        </w:rPr>
        <w:t xml:space="preserve"> </w:t>
        <w:r>
          <w:rPr/>
          <w:t xml:space="preserve">H1720.1</w:t>
        </w:r>
      </w:r>
      <w:r>
        <w:rPr>
          <w:b/>
        </w:rPr>
        <w:t xml:space="preserve"> - NOT FOR FLOOR USE</w:t>
      </w:r>
    </w:p>
    <w:p>
      <w:pPr>
        <w:ind w:left="0" w:right="0" w:firstLine="576"/>
      </w:pPr>
    </w:p>
    <w:p>
      <w:pPr>
        <w:spacing w:before="480" w:after="0" w:line="408" w:lineRule="exact"/>
      </w:pPr>
      <w:r>
        <w:rPr>
          <w:b/>
          <w:u w:val="single"/>
        </w:rPr>
        <w:t xml:space="preserve">ESSB 5207</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State Government &amp; Tribal Relations</w:t>
      </w:r>
    </w:p>
    <w:p>
      <w:pPr>
        <w:jc w:val="right"/>
      </w:pPr>
      <w:r>
        <w:rPr>
          <w:b/>
        </w:rPr>
        <w:t xml:space="preserve">NOT CONSIDERED 01/02/2024</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455</w:t>
      </w:r>
      <w:r>
        <w:rPr/>
        <w:t xml:space="preserve"> and 2010 c 204 s 609 are each amended to read as follows:</w:t>
      </w:r>
    </w:p>
    <w:p>
      <w:pPr>
        <w:spacing w:before="0" w:after="0" w:line="408" w:lineRule="exact"/>
        <w:ind w:left="0" w:right="0" w:firstLine="576"/>
        <w:jc w:val="left"/>
      </w:pPr>
      <w:r>
        <w:rPr/>
        <w:t xml:space="preserve">For purposes of this chapter:</w:t>
      </w:r>
    </w:p>
    <w:p>
      <w:pPr>
        <w:spacing w:before="0" w:after="0" w:line="408" w:lineRule="exact"/>
        <w:ind w:left="0" w:right="0" w:firstLine="576"/>
        <w:jc w:val="left"/>
      </w:pPr>
      <w:r>
        <w:rPr/>
        <w:t xml:space="preserve">(1) A contribution by a political committee with funds that have all been contributed by one person who exercises exclusive control over the distribution of the funds of the political committee is a contribution by the controlling person.</w:t>
      </w:r>
    </w:p>
    <w:p>
      <w:pPr>
        <w:spacing w:before="0" w:after="0" w:line="408" w:lineRule="exact"/>
        <w:ind w:left="0" w:right="0" w:firstLine="576"/>
        <w:jc w:val="left"/>
      </w:pPr>
      <w:r>
        <w:rPr/>
        <w:t xml:space="preserve">(2) Two or more entities are treated as a single entity if one of the two or more entities is a subsidiary, branch, or department of a corporation that is participating in an election campaign or making contributions, or a local unit or branch of a trade association, labor union, or collective bargaining association that is participating in an election campaign or making contributions. All contributions made by a person or political committee whose contribution or expenditure activity is financed, maintained, or controlled by a trade association, labor union, collective bargaining organization, or the local unit of a trade association, labor union, or collective bargaining organization are considered made by the trade association, labor union, collective bargaining organization, or local unit of a trade association, labor union, or collective bargaining organization.</w:t>
      </w:r>
    </w:p>
    <w:p>
      <w:pPr>
        <w:spacing w:before="0" w:after="0" w:line="408" w:lineRule="exact"/>
        <w:ind w:left="0" w:right="0" w:firstLine="576"/>
        <w:jc w:val="left"/>
      </w:pPr>
      <w:r>
        <w:rPr/>
        <w:t xml:space="preserve">(3) </w:t>
      </w:r>
      <w:r>
        <w:rPr>
          <w:u w:val="single"/>
        </w:rPr>
        <w:t xml:space="preserve">The contribution of any entity must be aggregated with the contributions made by each individual who owns or holds a majority interest in the entity.</w:t>
      </w:r>
    </w:p>
    <w:p>
      <w:pPr>
        <w:spacing w:before="0" w:after="0" w:line="408" w:lineRule="exact"/>
        <w:ind w:left="0" w:right="0" w:firstLine="576"/>
        <w:jc w:val="left"/>
      </w:pPr>
      <w:r>
        <w:rPr>
          <w:u w:val="single"/>
        </w:rPr>
        <w:t xml:space="preserve">(4) Two or more entities are treated as a single entity and share a contribution limit if:</w:t>
      </w:r>
    </w:p>
    <w:p>
      <w:pPr>
        <w:spacing w:before="0" w:after="0" w:line="408" w:lineRule="exact"/>
        <w:ind w:left="0" w:right="0" w:firstLine="576"/>
        <w:jc w:val="left"/>
      </w:pPr>
      <w:r>
        <w:rPr>
          <w:u w:val="single"/>
        </w:rPr>
        <w:t xml:space="preserve">(a) One of the entities is established, financed, maintained, or controlled by the other; or</w:t>
      </w:r>
    </w:p>
    <w:p>
      <w:pPr>
        <w:spacing w:before="0" w:after="0" w:line="408" w:lineRule="exact"/>
        <w:ind w:left="0" w:right="0" w:firstLine="576"/>
        <w:jc w:val="left"/>
      </w:pPr>
      <w:r>
        <w:rPr>
          <w:u w:val="single"/>
        </w:rPr>
        <w:t xml:space="preserve">(b) The same individual owns or holds a majority interest in each entity.</w:t>
      </w:r>
    </w:p>
    <w:p>
      <w:pPr>
        <w:spacing w:before="0" w:after="0" w:line="408" w:lineRule="exact"/>
        <w:ind w:left="0" w:right="0" w:firstLine="576"/>
        <w:jc w:val="left"/>
      </w:pPr>
      <w:r>
        <w:rPr>
          <w:u w:val="single"/>
        </w:rPr>
        <w:t xml:space="preserve">(5)</w:t>
      </w:r>
      <w:r>
        <w:rPr/>
        <w:t xml:space="preserve"> The commission shall adopt rules to carry out this section and is not subject to the time restrictions of RCW 42.17A.110(1).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17A</w:t>
      </w:r>
      <w:r>
        <w:rPr/>
        <w:t xml:space="preserve"> RCW</w:t>
      </w:r>
      <w:r>
        <w:rPr/>
        <w:t xml:space="preserve"> to read as follows:</w:t>
      </w:r>
    </w:p>
    <w:p>
      <w:pPr>
        <w:spacing w:before="0" w:after="0" w:line="408" w:lineRule="exact"/>
        <w:ind w:left="0" w:right="0" w:firstLine="576"/>
        <w:jc w:val="left"/>
      </w:pPr>
      <w:r>
        <w:rPr/>
        <w:t xml:space="preserve">(1) Any limited liability company that has registered with the secretary of state under chapter 23.95 RCW and has not elected to be classified as a corporation under the federal tax code may make contributions only if the company has:</w:t>
      </w:r>
    </w:p>
    <w:p>
      <w:pPr>
        <w:spacing w:before="0" w:after="0" w:line="408" w:lineRule="exact"/>
        <w:ind w:left="0" w:right="0" w:firstLine="576"/>
        <w:jc w:val="left"/>
      </w:pPr>
      <w:r>
        <w:rPr/>
        <w:t xml:space="preserve">(a) Been in existence for at least one year prior to making contributions; and</w:t>
      </w:r>
    </w:p>
    <w:p>
      <w:pPr>
        <w:spacing w:before="0" w:after="0" w:line="408" w:lineRule="exact"/>
        <w:ind w:left="0" w:right="0" w:firstLine="576"/>
        <w:jc w:val="left"/>
      </w:pPr>
      <w:r>
        <w:rPr/>
        <w:t xml:space="preserve">(b) Electronically filed with the commission a declaration that the company is a legitimate business with a legitimate business interest and is not created for the sole purpose of making campaign contributions.</w:t>
      </w:r>
    </w:p>
    <w:p>
      <w:pPr>
        <w:spacing w:before="0" w:after="0" w:line="408" w:lineRule="exact"/>
        <w:ind w:left="0" w:right="0" w:firstLine="576"/>
        <w:jc w:val="left"/>
      </w:pPr>
      <w:r>
        <w:rPr/>
        <w:t xml:space="preserve">(2) The commission shall develop a method for limited liability companies to file the declaration required under subsection (1)(b) of this section. The commission shall post all information submitted pursuant to this section on its website on a public page in a searchable format."</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Specifies that two entities share a contribution limit if one of the entities (rather than each entity) is established, financed, maintained, or controlled by the other. Provides that two entities share a contribution limit if the same individual owns or holds a majority interest in each. </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661de52580c403e" /></Relationships>
</file>