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4e66f247e421b" /></Relationships>
</file>

<file path=word/document.xml><?xml version="1.0" encoding="utf-8"?>
<w:document xmlns:w="http://schemas.openxmlformats.org/wordprocessingml/2006/main">
  <w:body>
    <w:p>
      <w:r>
        <w:rPr>
          <w:b/>
        </w:rPr>
        <w:r>
          <w:rPr/>
          <w:t xml:space="preserve">5284-S.E2</w:t>
        </w:r>
      </w:r>
      <w:r>
        <w:rPr>
          <w:b/>
        </w:rPr>
        <w:t xml:space="preserve"> </w:t>
        <w:t xml:space="preserve">AMH</w:t>
      </w:r>
      <w:r>
        <w:rPr>
          <w:b/>
        </w:rPr>
        <w:t xml:space="preserve"> </w:t>
        <w:r>
          <w:rPr/>
          <w:t xml:space="preserve">RAMO</w:t>
        </w:r>
      </w:r>
      <w:r>
        <w:rPr>
          <w:b/>
        </w:rPr>
        <w:t xml:space="preserve"> </w:t>
        <w:r>
          <w:rPr/>
          <w:t xml:space="preserve">H3472.2</w:t>
        </w:r>
      </w:r>
      <w:r>
        <w:rPr>
          <w:b/>
        </w:rPr>
        <w:t xml:space="preserve"> - NOT FOR FLOOR USE</w:t>
      </w:r>
    </w:p>
    <w:p>
      <w:pPr>
        <w:ind w:left="0" w:right="0" w:firstLine="576"/>
      </w:pPr>
    </w:p>
    <w:p>
      <w:pPr>
        <w:spacing w:before="480" w:after="0" w:line="408" w:lineRule="exact"/>
      </w:pPr>
      <w:r>
        <w:rPr>
          <w:b/>
          <w:u w:val="single"/>
        </w:rPr>
        <w:t xml:space="preserve">2ESSB 5284</w:t>
      </w:r>
      <w:r>
        <w:t xml:space="preserve"> -</w:t>
      </w:r>
      <w:r>
        <w:t xml:space="preserve"> </w:t>
        <w:t xml:space="preserve">H AMD</w:t>
      </w:r>
      <w:r>
        <w:t xml:space="preserve"> </w:t>
      </w:r>
      <w:r>
        <w:rPr>
          <w:b/>
        </w:rPr>
        <w:t xml:space="preserve">1184</w:t>
      </w:r>
    </w:p>
    <w:p>
      <w:pPr>
        <w:spacing w:before="0" w:after="0" w:line="408" w:lineRule="exact"/>
        <w:ind w:left="0" w:right="0" w:firstLine="576"/>
        <w:jc w:val="left"/>
      </w:pPr>
      <w:r>
        <w:rPr/>
        <w:t xml:space="preserve">By Representative Ramos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t>((</w:t>
      </w:r>
      <w:r>
        <w:rPr>
          <w:strik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strike/>
        </w:rPr>
        <w:t xml:space="preserve">(a) The contribution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contribution in any way;</w:t>
      </w:r>
    </w:p>
    <w:p>
      <w:pPr>
        <w:spacing w:before="0" w:after="0" w:line="408" w:lineRule="exact"/>
        <w:ind w:left="0" w:right="0" w:firstLine="576"/>
        <w:jc w:val="left"/>
      </w:pPr>
      <w:r>
        <w:rPr>
          <w:strike/>
        </w:rPr>
        <w:t xml:space="preserve">(6)</w:t>
      </w:r>
      <w:r>
        <w:t>))</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surplus or deficit of contributions over expenditures;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rPr>
          <w:u w:val="single"/>
        </w:rPr>
        <w:t xml:space="preserve">and</w:t>
      </w:r>
    </w:p>
    <w:p>
      <w:pPr>
        <w:spacing w:before="0" w:after="0" w:line="408" w:lineRule="exact"/>
        <w:ind w:left="0" w:right="0" w:firstLine="576"/>
        <w:jc w:val="left"/>
      </w:pPr>
      <w:r>
        <w:rPr/>
        <w:t xml:space="preserve">(i) </w:t>
      </w:r>
      <w:r>
        <w:t>((</w:t>
      </w:r>
      <w:r>
        <w:rPr>
          <w:strik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w:t>
      </w:r>
      <w:r>
        <w:rPr>
          <w:strike/>
        </w:rPr>
        <w:t xml:space="preserve"> in any way; and</w:t>
      </w:r>
    </w:p>
    <w:p>
      <w:pPr>
        <w:spacing w:before="0" w:after="0" w:line="408" w:lineRule="exact"/>
        <w:ind w:left="0" w:right="0" w:firstLine="576"/>
        <w:jc w:val="left"/>
      </w:pPr>
      <w:r>
        <w:rPr>
          <w:strike/>
        </w:rPr>
        <w:t xml:space="preserve">(j)</w:t>
      </w:r>
      <w:r>
        <w:t>))</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rPr>
          <w:u w:val="single"/>
        </w:rPr>
        <w:t xml:space="preserve">and</w:t>
      </w:r>
    </w:p>
    <w:p>
      <w:pPr>
        <w:spacing w:before="0" w:after="0" w:line="408" w:lineRule="exact"/>
        <w:ind w:left="0" w:right="0" w:firstLine="576"/>
        <w:jc w:val="left"/>
      </w:pPr>
      <w:r>
        <w:rPr/>
        <w:t xml:space="preserve">(e) </w:t>
      </w:r>
      <w:r>
        <w:t>((</w:t>
      </w:r>
      <w:r>
        <w:rPr>
          <w:strik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w:t>
      </w:r>
      <w:r>
        <w:rPr>
          <w:strike/>
        </w:rPr>
        <w:t xml:space="preserve"> in any way; and</w:t>
      </w:r>
    </w:p>
    <w:p>
      <w:pPr>
        <w:spacing w:before="0" w:after="0" w:line="408" w:lineRule="exact"/>
        <w:ind w:left="0" w:right="0" w:firstLine="576"/>
        <w:jc w:val="left"/>
      </w:pPr>
      <w:r>
        <w:rPr>
          <w:strike/>
        </w:rPr>
        <w:t xml:space="preserve">(f)</w:t>
      </w:r>
      <w:r>
        <w:t>))</w:t>
      </w:r>
      <w:r>
        <w:rPr/>
        <w:t xml:space="preserv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(Foreign nationals</w:t>
      </w:r>
      <w:r>
        <w:rPr>
          <w:rFonts w:ascii="Times New Roman" w:hAnsi="Times New Roman"/>
        </w:rPr>
        <w:t xml:space="preserve">—</w:t>
      </w:r>
      <w:r>
        <w:rPr/>
        <w:t xml:space="preserve">Contribution certification) and 2020 c 152 s 10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in the underlying bill that require purchasers of political advertising and electioneering communications to disclose information to commercial advertisers on request.</w:t>
      </w:r>
    </w:p>
    <w:p>
      <w:pPr>
        <w:spacing w:before="0" w:after="0" w:line="408" w:lineRule="exact"/>
        <w:ind w:left="0" w:right="0" w:firstLine="576"/>
        <w:jc w:val="left"/>
      </w:pPr>
      <w:r>
        <w:rPr/>
        <w:t xml:space="preserve">(2) Eliminates provisions in existing law that require candidates and political committees to receive a certification that no foreign nationals were involved in campaign contributions.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edc3cb7494c14" /></Relationships>
</file>